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18619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270B8">
        <w:rPr>
          <w:bCs/>
          <w:noProof w:val="0"/>
          <w:sz w:val="24"/>
          <w:szCs w:val="24"/>
        </w:rPr>
        <w:t>2002979</w:t>
      </w:r>
    </w:p>
    <w:p w14:paraId="11776FA6" w14:textId="1F5A38C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2794C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30C45">
        <w:rPr>
          <w:rFonts w:cs="Arial"/>
          <w:b/>
          <w:bCs/>
          <w:sz w:val="24"/>
        </w:rPr>
        <w:t>6.10.3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385C9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03A3">
        <w:rPr>
          <w:rFonts w:ascii="Arial" w:hAnsi="Arial" w:cs="Arial"/>
          <w:b/>
          <w:bCs/>
          <w:sz w:val="24"/>
        </w:rPr>
        <w:t>Discussion on NR DC PC</w:t>
      </w:r>
    </w:p>
    <w:p w14:paraId="1F147C23" w14:textId="058495A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4568">
        <w:rPr>
          <w:rFonts w:ascii="Arial" w:hAnsi="Arial" w:cs="Arial"/>
          <w:b/>
          <w:bCs/>
          <w:sz w:val="24"/>
        </w:rPr>
        <w:t>WI_CODE</w:t>
      </w:r>
      <w:r w:rsidRPr="00112F1A">
        <w:rPr>
          <w:rFonts w:ascii="Arial" w:hAnsi="Arial" w:cs="Arial"/>
          <w:b/>
          <w:bCs/>
          <w:sz w:val="24"/>
        </w:rPr>
        <w:t xml:space="preserve"> </w:t>
      </w:r>
      <w:r>
        <w:rPr>
          <w:rFonts w:ascii="Arial" w:hAnsi="Arial" w:cs="Arial"/>
          <w:b/>
          <w:bCs/>
          <w:sz w:val="24"/>
        </w:rPr>
        <w:t xml:space="preserve">- Release </w:t>
      </w:r>
      <w:r w:rsidR="00F036E9">
        <w:rPr>
          <w:rFonts w:ascii="Arial" w:hAnsi="Arial" w:cs="Arial"/>
          <w:b/>
          <w:bCs/>
          <w:sz w:val="24"/>
        </w:rPr>
        <w:t>XX</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BE52D3" w14:textId="61540816" w:rsidR="0024166E" w:rsidRDefault="0024166E" w:rsidP="00A209D6">
      <w:r w:rsidRPr="0024166E">
        <w:t xml:space="preserve">In RAN1 #98bis, </w:t>
      </w:r>
      <w:r w:rsidR="0031675A">
        <w:t>it was</w:t>
      </w:r>
      <w:r w:rsidRPr="0024166E">
        <w:t xml:space="preserve"> agreed on the overall structure how to support power sharing between MCG and SCG for NR-NR DC. Semi-static power sharing is agreed to be supported with two sub schemes, and dynamic power sharing is supported with UE capability. Dynamic power sharing may be supported together with look-ahead, if UE reports its capability.</w:t>
      </w:r>
    </w:p>
    <w:p w14:paraId="3C42C605" w14:textId="36CD0825" w:rsidR="00B07518" w:rsidRDefault="00A8369B" w:rsidP="00A209D6">
      <w:r>
        <w:t xml:space="preserve">In </w:t>
      </w:r>
      <w:r w:rsidR="00B07518">
        <w:t>RAN</w:t>
      </w:r>
      <w:r>
        <w:t>1</w:t>
      </w:r>
      <w:r w:rsidR="00B07518">
        <w:t>#1</w:t>
      </w:r>
      <w:r>
        <w:t>00</w:t>
      </w:r>
      <w:r w:rsidR="00B07518">
        <w:t>e meeting, RAN</w:t>
      </w:r>
      <w:r>
        <w:t>1</w:t>
      </w:r>
      <w:r w:rsidR="00B07518">
        <w:t xml:space="preserve"> </w:t>
      </w:r>
      <w:r>
        <w:t xml:space="preserve">sent an LS </w:t>
      </w:r>
      <w:hyperlink r:id="rId12" w:history="1">
        <w:r w:rsidR="00B07518" w:rsidRPr="00B07518">
          <w:rPr>
            <w:rStyle w:val="Hyperlink"/>
          </w:rPr>
          <w:t>R1-2001421</w:t>
        </w:r>
      </w:hyperlink>
      <w:r w:rsidR="00B07518">
        <w:t xml:space="preserve"> </w:t>
      </w:r>
      <w:r>
        <w:t xml:space="preserve">to RAN2 </w:t>
      </w:r>
      <w:r w:rsidR="00B07518">
        <w:t>on NR DC ULPC</w:t>
      </w:r>
      <w:r w:rsidR="00F579CD">
        <w:t>.</w:t>
      </w:r>
      <w:r w:rsidR="00B07518">
        <w:t xml:space="preserve"> As stated in the document itself, the main action for RAN2 is:</w:t>
      </w:r>
    </w:p>
    <w:p w14:paraId="1BE4A80A" w14:textId="77777777" w:rsidR="00B07518" w:rsidRPr="00DF168E" w:rsidRDefault="00B07518" w:rsidP="00B07518">
      <w:pPr>
        <w:spacing w:after="120"/>
        <w:ind w:left="993" w:hanging="993"/>
        <w:rPr>
          <w:rFonts w:ascii="Arial" w:hAnsi="Arial" w:cs="Arial"/>
          <w:iCs/>
          <w:lang w:val="en-US"/>
        </w:rPr>
      </w:pPr>
      <w:r>
        <w:rPr>
          <w:rFonts w:ascii="Arial" w:hAnsi="Arial" w:cs="Arial"/>
          <w:b/>
        </w:rPr>
        <w:t xml:space="preserve">ACTION: </w:t>
      </w:r>
      <w:r>
        <w:rPr>
          <w:rFonts w:ascii="Arial" w:hAnsi="Arial" w:cs="Arial"/>
          <w:b/>
        </w:rPr>
        <w:tab/>
      </w:r>
      <w:r>
        <w:rPr>
          <w:rFonts w:ascii="Arial" w:hAnsi="Arial" w:cs="Arial"/>
        </w:rPr>
        <w:t xml:space="preserve">RAN1 respectfully asks RAN2 to review this working assumption. </w:t>
      </w:r>
      <w:proofErr w:type="gramStart"/>
      <w:r w:rsidRPr="000E04B4">
        <w:rPr>
          <w:rFonts w:ascii="Arial" w:hAnsi="Arial" w:cs="Arial"/>
          <w:bCs/>
        </w:rPr>
        <w:t>In particular, RAN1</w:t>
      </w:r>
      <w:proofErr w:type="gramEnd"/>
      <w:r w:rsidRPr="000E04B4">
        <w:rPr>
          <w:rFonts w:ascii="Arial" w:hAnsi="Arial" w:cs="Arial"/>
          <w:bCs/>
        </w:rPr>
        <w:t xml:space="preserve"> would like to know whether the working assumption </w:t>
      </w:r>
      <w:r w:rsidRPr="00AB376F">
        <w:rPr>
          <w:rFonts w:ascii="Arial" w:hAnsi="Arial" w:cs="Arial"/>
          <w:bCs/>
        </w:rPr>
        <w:t xml:space="preserve">has </w:t>
      </w:r>
      <w:r w:rsidRPr="002277D1">
        <w:rPr>
          <w:rFonts w:ascii="Arial" w:hAnsi="Arial" w:cs="Arial"/>
          <w:bCs/>
        </w:rPr>
        <w:t>any negative impacts</w:t>
      </w:r>
      <w:r w:rsidRPr="000E04B4">
        <w:rPr>
          <w:rFonts w:ascii="Arial" w:hAnsi="Arial" w:cs="Arial"/>
          <w:bCs/>
        </w:rPr>
        <w:t xml:space="preserve"> for NR-DC operation from RAN2’s point of view, and if yes, the reason(s) and the actual impact(s)</w:t>
      </w:r>
      <w:r>
        <w:rPr>
          <w:rFonts w:ascii="Arial" w:hAnsi="Arial" w:cs="Arial"/>
        </w:rPr>
        <w:t xml:space="preserve">. </w:t>
      </w:r>
    </w:p>
    <w:p w14:paraId="4C05F714" w14:textId="6A6EEC22" w:rsidR="00B07518" w:rsidRPr="00B07518" w:rsidRDefault="00B07518" w:rsidP="00A209D6">
      <w:pPr>
        <w:rPr>
          <w:lang w:val="en-US"/>
        </w:rPr>
      </w:pPr>
      <w:r>
        <w:rPr>
          <w:lang w:val="en-US"/>
        </w:rPr>
        <w:t xml:space="preserve">In this document we discuss </w:t>
      </w:r>
      <w:r w:rsidR="000A1DE3" w:rsidRPr="000A1DE3">
        <w:rPr>
          <w:lang w:val="en-US"/>
        </w:rPr>
        <w:t>whether the working assumption has any negative impacts for NR-DC operation</w:t>
      </w:r>
      <w:r>
        <w:rPr>
          <w:lang w:val="en-US"/>
        </w:rPr>
        <w:t>.</w:t>
      </w:r>
    </w:p>
    <w:p w14:paraId="2BBFF540" w14:textId="276E1A82" w:rsidR="00A209D6" w:rsidRPr="006E13D1" w:rsidRDefault="00A209D6" w:rsidP="00A209D6">
      <w:pPr>
        <w:pStyle w:val="Heading1"/>
      </w:pPr>
      <w:r w:rsidRPr="006E13D1">
        <w:t>2</w:t>
      </w:r>
      <w:r w:rsidRPr="006E13D1">
        <w:tab/>
      </w:r>
      <w:r w:rsidR="00A4165E">
        <w:t xml:space="preserve">NR DC </w:t>
      </w:r>
      <w:r w:rsidR="00CE1336">
        <w:t>Uplink Power Control</w:t>
      </w:r>
    </w:p>
    <w:p w14:paraId="0A42E02E" w14:textId="31CDF2BE" w:rsidR="00A43D41" w:rsidRPr="00A43D41" w:rsidRDefault="006B2231" w:rsidP="00FF414A">
      <w:r>
        <w:t>According to RAN1, for NR DC two types of power control schemes were defined for NR DC UL PC: 1) s</w:t>
      </w:r>
      <w:r w:rsidRPr="006B2231">
        <w:t xml:space="preserve">emi-persistent power sharing and </w:t>
      </w:r>
      <w:r>
        <w:t xml:space="preserve">2) </w:t>
      </w:r>
      <w:r w:rsidRPr="006B2231">
        <w:t>dynamic power sharing</w:t>
      </w:r>
      <w:r w:rsidR="00C30C47">
        <w:t xml:space="preserve">. </w:t>
      </w:r>
    </w:p>
    <w:tbl>
      <w:tblPr>
        <w:tblStyle w:val="TableGrid"/>
        <w:tblW w:w="0" w:type="auto"/>
        <w:tblLook w:val="04A0" w:firstRow="1" w:lastRow="0" w:firstColumn="1" w:lastColumn="0" w:noHBand="0" w:noVBand="1"/>
      </w:tblPr>
      <w:tblGrid>
        <w:gridCol w:w="9631"/>
      </w:tblGrid>
      <w:tr w:rsidR="00A43D41" w14:paraId="0CF8C084" w14:textId="77777777" w:rsidTr="00310AE0">
        <w:tc>
          <w:tcPr>
            <w:tcW w:w="9631" w:type="dxa"/>
          </w:tcPr>
          <w:p w14:paraId="213BC4C7" w14:textId="4BB1CA62" w:rsidR="00A43D41" w:rsidRPr="00564851" w:rsidRDefault="00A43D41" w:rsidP="00A43D41">
            <w:pPr>
              <w:rPr>
                <w:b/>
                <w:bCs/>
                <w:sz w:val="14"/>
                <w:szCs w:val="14"/>
              </w:rPr>
            </w:pPr>
            <w:r w:rsidRPr="00564851">
              <w:rPr>
                <w:rFonts w:ascii="Arial" w:hAnsi="Arial" w:cs="Arial"/>
                <w:b/>
                <w:bCs/>
                <w:color w:val="000000" w:themeColor="text1"/>
                <w:sz w:val="22"/>
                <w:szCs w:val="22"/>
                <w:lang w:val="en-US"/>
              </w:rPr>
              <w:t>Semi-Static Power Sharing</w:t>
            </w:r>
          </w:p>
        </w:tc>
      </w:tr>
      <w:tr w:rsidR="00310AE0" w14:paraId="2E8DC3B4" w14:textId="77777777" w:rsidTr="00310AE0">
        <w:tc>
          <w:tcPr>
            <w:tcW w:w="9631" w:type="dxa"/>
          </w:tcPr>
          <w:p w14:paraId="08E18823" w14:textId="77777777" w:rsidR="00323AB1" w:rsidRDefault="00323AB1" w:rsidP="00FF6C1B">
            <w:pPr>
              <w:spacing w:after="0"/>
              <w:jc w:val="both"/>
              <w:rPr>
                <w:rFonts w:ascii="Arial" w:hAnsi="Arial" w:cs="Arial"/>
                <w:lang w:val="en-US"/>
              </w:rPr>
            </w:pPr>
            <w:r>
              <w:rPr>
                <w:rFonts w:ascii="Arial" w:hAnsi="Arial" w:cs="Arial"/>
                <w:lang w:val="en-US"/>
              </w:rPr>
              <w:t xml:space="preserve">RAN1 #98 </w:t>
            </w:r>
          </w:p>
          <w:p w14:paraId="5D8C5BE7" w14:textId="0ECA7B1C" w:rsidR="00FF6C1B" w:rsidRPr="00073A70" w:rsidRDefault="00FF6C1B" w:rsidP="00FF6C1B">
            <w:pPr>
              <w:spacing w:after="0"/>
              <w:jc w:val="both"/>
              <w:rPr>
                <w:lang w:val="en-US"/>
              </w:rPr>
            </w:pPr>
            <w:r w:rsidRPr="00073A70">
              <w:rPr>
                <w:highlight w:val="green"/>
                <w:lang w:val="en-US"/>
              </w:rPr>
              <w:t>Agreements</w:t>
            </w:r>
            <w:r w:rsidRPr="00073A70">
              <w:rPr>
                <w:lang w:val="en-US"/>
              </w:rPr>
              <w:t>:</w:t>
            </w:r>
          </w:p>
          <w:p w14:paraId="6CAE8E2C" w14:textId="77777777" w:rsidR="00FF6C1B" w:rsidRPr="00073A70" w:rsidRDefault="00FF6C1B" w:rsidP="00FF6C1B">
            <w:pPr>
              <w:numPr>
                <w:ilvl w:val="0"/>
                <w:numId w:val="14"/>
              </w:numPr>
              <w:overflowPunct w:val="0"/>
              <w:autoSpaceDE w:val="0"/>
              <w:autoSpaceDN w:val="0"/>
              <w:adjustRightInd w:val="0"/>
              <w:spacing w:after="0"/>
              <w:jc w:val="both"/>
              <w:rPr>
                <w:lang w:val="en-US" w:eastAsia="zh-CN"/>
              </w:rPr>
            </w:pPr>
            <w:r w:rsidRPr="00073A70">
              <w:rPr>
                <w:lang w:val="en-US" w:eastAsia="zh-CN"/>
              </w:rPr>
              <w:t xml:space="preserve">Considering the following two alternatives for semi-static power sharing with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MCG</m:t>
                  </m:r>
                </m:sub>
              </m:sSub>
            </m:oMath>
            <w:r w:rsidRPr="00073A70">
              <w:rPr>
                <w:lang w:val="en-US" w:eastAsia="zh-CN"/>
              </w:rPr>
              <w:t xml:space="preserve">+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SCG</m:t>
                  </m:r>
                </m:sub>
              </m:sSub>
              <m:r>
                <w:rPr>
                  <w:rFonts w:ascii="Cambria Math" w:hAnsi="Cambria Math"/>
                  <w:lang w:val="en-US" w:eastAsia="zh-CN"/>
                </w:rPr>
                <m:t>≤</m:t>
              </m:r>
              <m:sSubSup>
                <m:sSubSupPr>
                  <m:ctrlPr>
                    <w:rPr>
                      <w:rFonts w:ascii="Cambria Math" w:eastAsia="SimSun" w:hAnsi="Cambria Math"/>
                      <w:i/>
                      <w:iCs/>
                      <w:lang w:eastAsia="zh-CN"/>
                    </w:rPr>
                  </m:ctrlPr>
                </m:sSubSupPr>
                <m:e>
                  <m:r>
                    <w:rPr>
                      <w:rFonts w:ascii="Cambria Math" w:hAnsi="Cambria Math"/>
                      <w:lang w:val="en-US" w:eastAsia="zh-CN"/>
                    </w:rPr>
                    <m:t>P</m:t>
                  </m:r>
                </m:e>
                <m:sub>
                  <m:r>
                    <w:rPr>
                      <w:rFonts w:ascii="Cambria Math" w:hAnsi="Cambria Math"/>
                      <w:lang w:val="en-US" w:eastAsia="zh-CN"/>
                    </w:rPr>
                    <m:t>Total</m:t>
                  </m:r>
                </m:sub>
                <m:sup>
                  <m:r>
                    <w:rPr>
                      <w:rFonts w:ascii="Cambria Math" w:hAnsi="Cambria Math"/>
                      <w:lang w:val="en-US" w:eastAsia="zh-CN"/>
                    </w:rPr>
                    <m:t>NN- DC</m:t>
                  </m:r>
                </m:sup>
              </m:sSubSup>
            </m:oMath>
          </w:p>
          <w:p w14:paraId="7F912557" w14:textId="77777777" w:rsidR="00FF6C1B" w:rsidRPr="00073A70" w:rsidRDefault="00FF6C1B" w:rsidP="00FF6C1B">
            <w:pPr>
              <w:numPr>
                <w:ilvl w:val="1"/>
                <w:numId w:val="14"/>
              </w:numPr>
              <w:overflowPunct w:val="0"/>
              <w:autoSpaceDE w:val="0"/>
              <w:autoSpaceDN w:val="0"/>
              <w:adjustRightInd w:val="0"/>
              <w:spacing w:after="0"/>
              <w:jc w:val="both"/>
              <w:rPr>
                <w:lang w:val="en-US" w:eastAsia="zh-CN"/>
              </w:rPr>
            </w:pPr>
            <w:r w:rsidRPr="00073A70">
              <w:rPr>
                <w:lang w:val="en-US" w:eastAsia="zh-CN"/>
              </w:rPr>
              <w:t>Alt.1: For the uplink transmission in MCG, the UE checks the semi-statically configured direction of the overlapping symbols of all serving cells of SCG, and vice versa.</w:t>
            </w:r>
          </w:p>
          <w:p w14:paraId="7E528871" w14:textId="77777777" w:rsidR="00FF6C1B" w:rsidRPr="00073A70" w:rsidRDefault="00FF6C1B" w:rsidP="00FF6C1B">
            <w:pPr>
              <w:numPr>
                <w:ilvl w:val="2"/>
                <w:numId w:val="14"/>
              </w:numPr>
              <w:overflowPunct w:val="0"/>
              <w:autoSpaceDE w:val="0"/>
              <w:autoSpaceDN w:val="0"/>
              <w:adjustRightInd w:val="0"/>
              <w:spacing w:after="0"/>
              <w:jc w:val="both"/>
              <w:rPr>
                <w:lang w:val="en-US" w:eastAsia="zh-CN"/>
              </w:rPr>
            </w:pPr>
            <w:r w:rsidRPr="00073A70">
              <w:rPr>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MCG</m:t>
                  </m:r>
                </m:sub>
              </m:sSub>
            </m:oMath>
            <w:r w:rsidRPr="00073A70">
              <w:rPr>
                <w:lang w:val="en-US" w:eastAsia="zh-CN"/>
              </w:rPr>
              <w:t xml:space="preserve">in MCG such that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MCG</m:t>
                  </m:r>
                </m:sub>
              </m:sSub>
              <m:r>
                <m:rPr>
                  <m:sty m:val="p"/>
                </m:rPr>
                <w:rPr>
                  <w:rFonts w:ascii="Cambria Math" w:hAnsi="Cambria Math"/>
                  <w:lang w:val="en-US" w:eastAsia="zh-CN"/>
                </w:rPr>
                <m:t>≤</m:t>
              </m:r>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MCG</m:t>
                  </m:r>
                </m:sub>
              </m:sSub>
            </m:oMath>
            <w:r w:rsidRPr="00073A70">
              <w:rPr>
                <w:lang w:val="en-US" w:eastAsia="zh-CN"/>
              </w:rPr>
              <w:t xml:space="preserve">; </w:t>
            </w:r>
          </w:p>
          <w:p w14:paraId="3F495169" w14:textId="77777777" w:rsidR="00FF6C1B" w:rsidRPr="00073A70" w:rsidRDefault="00FF6C1B" w:rsidP="00FF6C1B">
            <w:pPr>
              <w:numPr>
                <w:ilvl w:val="2"/>
                <w:numId w:val="14"/>
              </w:numPr>
              <w:overflowPunct w:val="0"/>
              <w:autoSpaceDE w:val="0"/>
              <w:autoSpaceDN w:val="0"/>
              <w:adjustRightInd w:val="0"/>
              <w:spacing w:after="0"/>
              <w:jc w:val="both"/>
              <w:rPr>
                <w:lang w:val="en-US" w:eastAsia="zh-CN"/>
              </w:rPr>
            </w:pPr>
            <w:r w:rsidRPr="00073A70">
              <w:rPr>
                <w:lang w:val="en-US" w:eastAsia="zh-CN"/>
              </w:rPr>
              <w:t xml:space="preserve">Otherwise (i.e. collides with only semi-static ‘DL’ symbols on all CCs of SCG),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MCG</m:t>
                  </m:r>
                </m:sub>
              </m:sSub>
            </m:oMath>
            <w:r w:rsidRPr="00073A70">
              <w:rPr>
                <w:lang w:val="en-US" w:eastAsia="zh-CN"/>
              </w:rPr>
              <w:t xml:space="preserve"> can be up to </w:t>
            </w:r>
            <m:oMath>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MCG</m:t>
                  </m:r>
                </m:sub>
                <m:sup>
                  <m:r>
                    <m:rPr>
                      <m:sty m:val="p"/>
                    </m:rPr>
                    <w:rPr>
                      <w:rFonts w:ascii="Cambria Math" w:hAnsi="Cambria Math"/>
                      <w:lang w:val="en-US" w:eastAsia="zh-CN"/>
                    </w:rPr>
                    <m:t>'</m:t>
                  </m:r>
                </m:sup>
              </m:sSubSup>
            </m:oMath>
            <w:r w:rsidRPr="00073A70">
              <w:rPr>
                <w:lang w:val="en-US" w:eastAsia="zh-CN"/>
              </w:rPr>
              <w:t xml:space="preserve"> and  </w:t>
            </w:r>
            <m:oMath>
              <m:sSub>
                <m:sSubPr>
                  <m:ctrlPr>
                    <w:rPr>
                      <w:rFonts w:ascii="Cambria Math" w:eastAsia="SimSun" w:hAnsi="Cambria Math"/>
                      <w:i/>
                      <w:iCs/>
                      <w:lang w:eastAsia="zh-CN"/>
                    </w:rPr>
                  </m:ctrlPr>
                </m:sSubPr>
                <m:e>
                  <m:r>
                    <m:rPr>
                      <m:sty m:val="p"/>
                    </m:rPr>
                    <w:rPr>
                      <w:rFonts w:ascii="Cambria Math" w:hAnsi="Cambria Math"/>
                      <w:lang w:val="en-US" w:eastAsia="zh-CN"/>
                    </w:rPr>
                    <m:t>p</m:t>
                  </m:r>
                </m:e>
                <m:sub>
                  <m:r>
                    <m:rPr>
                      <m:sty m:val="p"/>
                    </m:rPr>
                    <w:rPr>
                      <w:rFonts w:ascii="Cambria Math" w:hAnsi="Cambria Math"/>
                      <w:lang w:val="en-US" w:eastAsia="zh-CN"/>
                    </w:rPr>
                    <m:t>SCG</m:t>
                  </m:r>
                </m:sub>
              </m:sSub>
            </m:oMath>
            <w:r w:rsidRPr="00073A70">
              <w:rPr>
                <w:lang w:val="en-US" w:eastAsia="zh-CN"/>
              </w:rPr>
              <w:t xml:space="preserve"> can be up to </w:t>
            </w:r>
            <m:oMath>
              <m:r>
                <m:rPr>
                  <m:sty m:val="p"/>
                </m:rPr>
                <w:rPr>
                  <w:rFonts w:ascii="Cambria Math" w:hAnsi="Cambria Math"/>
                  <w:lang w:val="en-US" w:eastAsia="zh-CN"/>
                </w:rPr>
                <m:t> </m:t>
              </m:r>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SCG</m:t>
                  </m:r>
                </m:sub>
                <m:sup>
                  <m:r>
                    <m:rPr>
                      <m:sty m:val="p"/>
                    </m:rPr>
                    <w:rPr>
                      <w:rFonts w:ascii="Cambria Math" w:hAnsi="Cambria Math"/>
                      <w:lang w:val="en-US" w:eastAsia="zh-CN"/>
                    </w:rPr>
                    <m:t>'</m:t>
                  </m:r>
                </m:sup>
              </m:sSubSup>
            </m:oMath>
            <w:r w:rsidRPr="00073A70">
              <w:rPr>
                <w:lang w:val="en-US" w:eastAsia="zh-CN"/>
              </w:rPr>
              <w:t xml:space="preserve">  .</w:t>
            </w:r>
          </w:p>
          <w:p w14:paraId="7AC4F472" w14:textId="77777777" w:rsidR="00FF6C1B" w:rsidRPr="00073A70" w:rsidRDefault="00FF6C1B" w:rsidP="00FF6C1B">
            <w:pPr>
              <w:numPr>
                <w:ilvl w:val="3"/>
                <w:numId w:val="14"/>
              </w:numPr>
              <w:overflowPunct w:val="0"/>
              <w:autoSpaceDE w:val="0"/>
              <w:autoSpaceDN w:val="0"/>
              <w:adjustRightInd w:val="0"/>
              <w:spacing w:after="0"/>
              <w:jc w:val="both"/>
              <w:rPr>
                <w:lang w:val="en-US" w:eastAsia="zh-CN"/>
              </w:rPr>
            </w:pPr>
            <w:r w:rsidRPr="00073A70">
              <w:rPr>
                <w:lang w:val="en-US" w:eastAsia="zh-CN"/>
              </w:rPr>
              <w:t xml:space="preserve">Alt.1-1:  </w:t>
            </w:r>
            <m:oMath>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MCG</m:t>
                  </m:r>
                </m:sub>
                <m:sup>
                  <m:r>
                    <m:rPr>
                      <m:sty m:val="p"/>
                    </m:rPr>
                    <w:rPr>
                      <w:rFonts w:ascii="Cambria Math" w:hAnsi="Cambria Math"/>
                      <w:lang w:val="en-US" w:eastAsia="zh-CN"/>
                    </w:rPr>
                    <m:t>'</m:t>
                  </m:r>
                </m:sup>
              </m:sSubSup>
            </m:oMath>
            <w:r w:rsidRPr="00073A70">
              <w:rPr>
                <w:lang w:val="en-US" w:eastAsia="zh-CN"/>
              </w:rPr>
              <w:t xml:space="preserve"> and </w:t>
            </w:r>
            <m:oMath>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SCG</m:t>
                  </m:r>
                </m:sub>
                <m:sup>
                  <m:r>
                    <m:rPr>
                      <m:sty m:val="p"/>
                    </m:rPr>
                    <w:rPr>
                      <w:rFonts w:ascii="Cambria Math" w:hAnsi="Cambria Math"/>
                      <w:lang w:val="en-US" w:eastAsia="zh-CN"/>
                    </w:rPr>
                    <m:t>'</m:t>
                  </m:r>
                </m:sup>
              </m:sSubSup>
            </m:oMath>
            <w:r w:rsidRPr="00073A70">
              <w:rPr>
                <w:lang w:val="en-US" w:eastAsia="zh-CN"/>
              </w:rPr>
              <w:t xml:space="preserve">  are configured by RRC signaling. </w:t>
            </w:r>
          </w:p>
          <w:p w14:paraId="70E2A84E" w14:textId="77777777" w:rsidR="00FF6C1B" w:rsidRPr="00073A70" w:rsidRDefault="00FF6C1B" w:rsidP="00FF6C1B">
            <w:pPr>
              <w:numPr>
                <w:ilvl w:val="3"/>
                <w:numId w:val="14"/>
              </w:numPr>
              <w:overflowPunct w:val="0"/>
              <w:autoSpaceDE w:val="0"/>
              <w:autoSpaceDN w:val="0"/>
              <w:adjustRightInd w:val="0"/>
              <w:spacing w:after="0"/>
              <w:jc w:val="both"/>
              <w:rPr>
                <w:lang w:val="en-US" w:eastAsia="zh-CN"/>
              </w:rPr>
            </w:pPr>
            <w:r w:rsidRPr="00073A70">
              <w:rPr>
                <w:lang w:val="en-US" w:eastAsia="zh-CN"/>
              </w:rPr>
              <w:t xml:space="preserve">Alt.1-2:  </w:t>
            </w:r>
            <m:oMath>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MCG</m:t>
                  </m:r>
                </m:sub>
                <m:sup>
                  <m:r>
                    <m:rPr>
                      <m:sty m:val="p"/>
                    </m:rPr>
                    <w:rPr>
                      <w:rFonts w:ascii="Cambria Math" w:hAnsi="Cambria Math"/>
                      <w:lang w:val="en-US" w:eastAsia="zh-CN"/>
                    </w:rPr>
                    <m:t>'</m:t>
                  </m:r>
                </m:sup>
              </m:sSubSup>
            </m:oMath>
            <w:r w:rsidRPr="00073A70">
              <w:rPr>
                <w:lang w:val="en-US" w:eastAsia="zh-CN"/>
              </w:rPr>
              <w:t xml:space="preserve"> and </w:t>
            </w:r>
            <m:oMath>
              <m:sSubSup>
                <m:sSubSupPr>
                  <m:ctrlPr>
                    <w:rPr>
                      <w:rFonts w:ascii="Cambria Math" w:eastAsia="SimSun" w:hAnsi="Cambria Math"/>
                      <w:i/>
                      <w:iCs/>
                      <w:lang w:eastAsia="zh-CN"/>
                    </w:rPr>
                  </m:ctrlPr>
                </m:sSubSupPr>
                <m:e>
                  <m:r>
                    <m:rPr>
                      <m:sty m:val="p"/>
                    </m:rPr>
                    <w:rPr>
                      <w:rFonts w:ascii="Cambria Math" w:hAnsi="Cambria Math"/>
                      <w:lang w:val="en-US" w:eastAsia="zh-CN"/>
                    </w:rPr>
                    <m:t>P</m:t>
                  </m:r>
                </m:e>
                <m:sub>
                  <m:r>
                    <m:rPr>
                      <m:sty m:val="p"/>
                    </m:rPr>
                    <w:rPr>
                      <w:rFonts w:ascii="Cambria Math" w:hAnsi="Cambria Math"/>
                      <w:lang w:val="en-US" w:eastAsia="zh-CN"/>
                    </w:rPr>
                    <m:t>SCG</m:t>
                  </m:r>
                </m:sub>
                <m:sup>
                  <m:r>
                    <m:rPr>
                      <m:sty m:val="p"/>
                    </m:rPr>
                    <w:rPr>
                      <w:rFonts w:ascii="Cambria Math" w:hAnsi="Cambria Math"/>
                      <w:lang w:val="en-US" w:eastAsia="zh-CN"/>
                    </w:rPr>
                    <m:t>'</m:t>
                  </m:r>
                </m:sup>
              </m:sSubSup>
            </m:oMath>
            <w:r w:rsidRPr="00073A70">
              <w:rPr>
                <w:lang w:val="en-US" w:eastAsia="zh-CN"/>
              </w:rPr>
              <w:t xml:space="preserve">  are determined by RAN4 requirement. </w:t>
            </w:r>
          </w:p>
          <w:p w14:paraId="3263684A" w14:textId="48007E7E" w:rsidR="00FF6C1B" w:rsidRPr="00073A70" w:rsidRDefault="00FF6C1B" w:rsidP="00FF6C1B">
            <w:pPr>
              <w:pStyle w:val="paragraph"/>
              <w:spacing w:before="0" w:beforeAutospacing="0" w:after="0" w:afterAutospacing="0"/>
              <w:textAlignment w:val="baseline"/>
              <w:rPr>
                <w:iCs/>
                <w:lang w:eastAsia="zh-CN"/>
              </w:rPr>
            </w:pPr>
            <w:r w:rsidRPr="00073A70">
              <w:rPr>
                <w:lang w:eastAsia="zh-CN"/>
              </w:rPr>
              <w:t xml:space="preserve">Alt.2: For the uplink transmission in MCG and in SCG, UE limits its actual transmission power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MCG</m:t>
                  </m:r>
                </m:sub>
              </m:sSub>
            </m:oMath>
            <w:r w:rsidRPr="00073A70">
              <w:rPr>
                <w:lang w:eastAsia="zh-CN"/>
              </w:rPr>
              <w:t xml:space="preserve"> to be up to</w:t>
            </w:r>
            <m:oMath>
              <m:sSub>
                <m:sSubPr>
                  <m:ctrlPr>
                    <w:rPr>
                      <w:rFonts w:ascii="Cambria Math" w:hAnsi="Cambria Math"/>
                      <w:i/>
                      <w:iCs/>
                      <w:lang w:eastAsia="zh-CN"/>
                    </w:rPr>
                  </m:ctrlPr>
                </m:sSubPr>
                <m:e>
                  <m:r>
                    <m:rPr>
                      <m:sty m:val="p"/>
                    </m:rPr>
                    <w:rPr>
                      <w:rFonts w:ascii="Cambria Math" w:hAnsi="Cambria Math"/>
                      <w:lang w:eastAsia="zh-CN"/>
                    </w:rPr>
                    <m:t> P</m:t>
                  </m:r>
                </m:e>
                <m:sub>
                  <m:r>
                    <m:rPr>
                      <m:sty m:val="p"/>
                    </m:rPr>
                    <w:rPr>
                      <w:rFonts w:ascii="Cambria Math" w:hAnsi="Cambria Math"/>
                      <w:lang w:eastAsia="zh-CN"/>
                    </w:rPr>
                    <m:t>MCG</m:t>
                  </m:r>
                </m:sub>
              </m:sSub>
            </m:oMath>
            <w:r w:rsidRPr="00073A70">
              <w:rPr>
                <w:lang w:eastAsia="zh-CN"/>
              </w:rPr>
              <w:t xml:space="preserve">and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SCG</m:t>
                  </m:r>
                </m:sub>
              </m:sSub>
            </m:oMath>
            <w:r w:rsidRPr="00073A70">
              <w:rPr>
                <w:lang w:eastAsia="zh-CN"/>
              </w:rPr>
              <w:t xml:space="preserve"> to be up to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SCG</m:t>
                  </m:r>
                </m:sub>
              </m:sSub>
            </m:oMath>
          </w:p>
          <w:p w14:paraId="560184D5" w14:textId="4F306B93" w:rsidR="00FF6C1B" w:rsidRPr="00773918" w:rsidRDefault="00FF6C1B" w:rsidP="00773918">
            <w:pPr>
              <w:spacing w:after="0"/>
              <w:jc w:val="both"/>
              <w:rPr>
                <w:rFonts w:ascii="Arial" w:hAnsi="Arial" w:cs="Arial"/>
                <w:lang w:val="en-US"/>
              </w:rPr>
            </w:pPr>
          </w:p>
          <w:p w14:paraId="0F9BBD79" w14:textId="6764211D" w:rsidR="00323AB1" w:rsidRPr="00773918" w:rsidRDefault="00323AB1" w:rsidP="00773918">
            <w:pPr>
              <w:spacing w:after="0"/>
              <w:jc w:val="both"/>
              <w:rPr>
                <w:rFonts w:ascii="Arial" w:hAnsi="Arial" w:cs="Arial"/>
                <w:lang w:val="en-US"/>
              </w:rPr>
            </w:pPr>
            <w:r w:rsidRPr="00773918">
              <w:rPr>
                <w:rFonts w:ascii="Arial" w:hAnsi="Arial" w:cs="Arial"/>
                <w:lang w:val="en-US"/>
              </w:rPr>
              <w:t>RAN1#98bis</w:t>
            </w:r>
          </w:p>
          <w:p w14:paraId="00BDE20B" w14:textId="5E0CF6C2" w:rsidR="00310AE0" w:rsidRDefault="00310AE0" w:rsidP="00310AE0">
            <w:pPr>
              <w:pStyle w:val="paragraph"/>
              <w:spacing w:before="0" w:beforeAutospacing="0" w:after="0" w:afterAutospacing="0"/>
              <w:textAlignment w:val="baseline"/>
              <w:rPr>
                <w:rFonts w:ascii="Malgun Gothic" w:eastAsia="Malgun Gothic" w:hAnsi="Malgun Gothic"/>
              </w:rPr>
            </w:pPr>
            <w:r>
              <w:rPr>
                <w:rStyle w:val="normaltextrun"/>
                <w:rFonts w:eastAsia="Malgun Gothic"/>
                <w:sz w:val="22"/>
                <w:szCs w:val="22"/>
                <w:shd w:val="clear" w:color="auto" w:fill="00FF00"/>
                <w:lang w:val="en-GB"/>
              </w:rPr>
              <w:t>Agreements</w:t>
            </w:r>
            <w:r>
              <w:rPr>
                <w:rStyle w:val="normaltextrun"/>
                <w:rFonts w:eastAsia="Malgun Gothic"/>
                <w:b/>
                <w:bCs/>
                <w:sz w:val="22"/>
                <w:szCs w:val="22"/>
                <w:lang w:val="en-GB"/>
              </w:rPr>
              <w:t>:</w:t>
            </w:r>
            <w:r>
              <w:rPr>
                <w:rStyle w:val="eop"/>
                <w:rFonts w:eastAsia="Malgun Gothic"/>
                <w:sz w:val="22"/>
                <w:szCs w:val="22"/>
              </w:rPr>
              <w:t> </w:t>
            </w:r>
          </w:p>
          <w:p w14:paraId="0F9578A5" w14:textId="77777777" w:rsidR="00310AE0" w:rsidRDefault="00310AE0" w:rsidP="00310AE0">
            <w:pPr>
              <w:pStyle w:val="paragraph"/>
              <w:numPr>
                <w:ilvl w:val="0"/>
                <w:numId w:val="8"/>
              </w:numPr>
              <w:spacing w:before="0" w:beforeAutospacing="0" w:after="0" w:afterAutospacing="0"/>
              <w:ind w:left="0" w:firstLine="0"/>
              <w:textAlignment w:val="baseline"/>
              <w:rPr>
                <w:rFonts w:eastAsia="Malgun Gothic"/>
                <w:sz w:val="20"/>
                <w:szCs w:val="20"/>
              </w:rPr>
            </w:pPr>
            <w:r>
              <w:rPr>
                <w:rStyle w:val="normaltextrun"/>
                <w:rFonts w:eastAsia="Malgun Gothic"/>
                <w:sz w:val="20"/>
                <w:szCs w:val="20"/>
              </w:rPr>
              <w:t>Adopt Alt.1-2 and Alt.2 for semi-static power sharing for NR-NR DC.</w:t>
            </w:r>
            <w:r>
              <w:rPr>
                <w:rStyle w:val="eop"/>
                <w:rFonts w:eastAsia="Malgun Gothic"/>
                <w:sz w:val="20"/>
                <w:szCs w:val="20"/>
              </w:rPr>
              <w:t> </w:t>
            </w:r>
          </w:p>
          <w:p w14:paraId="744211B4" w14:textId="77777777" w:rsidR="00310AE0" w:rsidRDefault="00310AE0" w:rsidP="00310AE0">
            <w:pPr>
              <w:pStyle w:val="paragraph"/>
              <w:numPr>
                <w:ilvl w:val="0"/>
                <w:numId w:val="9"/>
              </w:numPr>
              <w:spacing w:before="0" w:beforeAutospacing="0" w:after="0" w:afterAutospacing="0"/>
              <w:ind w:firstLine="0"/>
              <w:textAlignment w:val="baseline"/>
              <w:rPr>
                <w:rFonts w:eastAsia="Malgun Gothic"/>
                <w:sz w:val="20"/>
                <w:szCs w:val="20"/>
              </w:rPr>
            </w:pPr>
            <w:r>
              <w:rPr>
                <w:rStyle w:val="normaltextrun"/>
                <w:rFonts w:eastAsia="Malgun Gothic"/>
                <w:sz w:val="20"/>
                <w:szCs w:val="20"/>
              </w:rPr>
              <w:t>Alt.1-2 is only subject to configured maximum transmission power defined by RAN4 </w:t>
            </w:r>
            <w:r>
              <w:rPr>
                <w:rStyle w:val="eop"/>
                <w:rFonts w:eastAsia="Malgun Gothic"/>
                <w:sz w:val="20"/>
                <w:szCs w:val="20"/>
              </w:rPr>
              <w:t> </w:t>
            </w:r>
          </w:p>
          <w:p w14:paraId="25AE21D6" w14:textId="77777777" w:rsidR="00310AE0" w:rsidRDefault="00310AE0" w:rsidP="00310AE0">
            <w:pPr>
              <w:pStyle w:val="paragraph"/>
              <w:numPr>
                <w:ilvl w:val="0"/>
                <w:numId w:val="9"/>
              </w:numPr>
              <w:spacing w:before="0" w:beforeAutospacing="0" w:after="0" w:afterAutospacing="0"/>
              <w:ind w:firstLine="0"/>
              <w:textAlignment w:val="baseline"/>
              <w:rPr>
                <w:rFonts w:eastAsia="Malgun Gothic"/>
                <w:sz w:val="20"/>
                <w:szCs w:val="20"/>
              </w:rPr>
            </w:pPr>
            <w:r>
              <w:rPr>
                <w:rStyle w:val="normaltextrun"/>
                <w:rFonts w:eastAsia="Malgun Gothic"/>
                <w:sz w:val="20"/>
                <w:szCs w:val="20"/>
              </w:rPr>
              <w:t>Configuration between Alt.1-2 and Alt.2 is supported.</w:t>
            </w:r>
            <w:r>
              <w:rPr>
                <w:rStyle w:val="eop"/>
                <w:rFonts w:eastAsia="Malgun Gothic"/>
                <w:sz w:val="20"/>
                <w:szCs w:val="20"/>
              </w:rPr>
              <w:t> </w:t>
            </w:r>
          </w:p>
          <w:p w14:paraId="2454DF24" w14:textId="77777777" w:rsidR="00310AE0" w:rsidRDefault="00310AE0" w:rsidP="00310AE0">
            <w:pPr>
              <w:pStyle w:val="paragraph"/>
              <w:numPr>
                <w:ilvl w:val="0"/>
                <w:numId w:val="9"/>
              </w:numPr>
              <w:spacing w:before="0" w:beforeAutospacing="0" w:after="0" w:afterAutospacing="0"/>
              <w:ind w:firstLine="0"/>
              <w:textAlignment w:val="baseline"/>
              <w:rPr>
                <w:rFonts w:eastAsia="Malgun Gothic"/>
                <w:sz w:val="20"/>
                <w:szCs w:val="20"/>
              </w:rPr>
            </w:pPr>
            <w:r>
              <w:rPr>
                <w:rStyle w:val="normaltextrun"/>
                <w:rFonts w:eastAsia="Malgun Gothic"/>
                <w:sz w:val="20"/>
                <w:szCs w:val="20"/>
              </w:rPr>
              <w:t>FFS: add more clarification</w:t>
            </w:r>
            <w:r>
              <w:rPr>
                <w:rStyle w:val="eop"/>
                <w:rFonts w:eastAsia="Malgun Gothic"/>
                <w:sz w:val="20"/>
                <w:szCs w:val="20"/>
              </w:rPr>
              <w:t> </w:t>
            </w:r>
          </w:p>
          <w:p w14:paraId="429D7B3E" w14:textId="5600C349" w:rsidR="00310AE0" w:rsidRPr="00250ECF" w:rsidRDefault="00310AE0" w:rsidP="00FF414A">
            <w:pPr>
              <w:pStyle w:val="paragraph"/>
              <w:numPr>
                <w:ilvl w:val="0"/>
                <w:numId w:val="9"/>
              </w:numPr>
              <w:spacing w:before="0" w:beforeAutospacing="0" w:after="0" w:afterAutospacing="0"/>
              <w:ind w:firstLine="0"/>
              <w:textAlignment w:val="baseline"/>
              <w:rPr>
                <w:rFonts w:ascii="Malgun Gothic" w:eastAsia="Malgun Gothic" w:hAnsi="Malgun Gothic"/>
              </w:rPr>
            </w:pPr>
            <w:r>
              <w:rPr>
                <w:rStyle w:val="normaltextrun"/>
                <w:rFonts w:eastAsia="Malgun Gothic"/>
                <w:sz w:val="20"/>
                <w:szCs w:val="20"/>
              </w:rPr>
              <w:lastRenderedPageBreak/>
              <w:t>FFS: applied for synchronous DC only or applied for both synchronous and asynchronous DC (which may be the same or different for Alt.1-2 and Alt. 2)    </w:t>
            </w:r>
            <w:r>
              <w:rPr>
                <w:rStyle w:val="eop"/>
                <w:rFonts w:eastAsia="Malgun Gothic"/>
                <w:sz w:val="20"/>
                <w:szCs w:val="20"/>
              </w:rPr>
              <w:t> </w:t>
            </w:r>
          </w:p>
        </w:tc>
      </w:tr>
    </w:tbl>
    <w:p w14:paraId="032865ED" w14:textId="77777777" w:rsidR="00310AE0" w:rsidRPr="00310AE0" w:rsidRDefault="00310AE0" w:rsidP="00FF414A">
      <w:pPr>
        <w:rPr>
          <w:lang w:val="en-US"/>
        </w:rPr>
      </w:pPr>
    </w:p>
    <w:p w14:paraId="319719ED" w14:textId="22714B7E" w:rsidR="00FF414A" w:rsidRPr="006603CF" w:rsidRDefault="00B35CA9" w:rsidP="00FF414A">
      <w:pPr>
        <w:rPr>
          <w:rFonts w:ascii="Arial" w:hAnsi="Arial" w:cs="Arial"/>
          <w:color w:val="000000" w:themeColor="text1"/>
          <w:sz w:val="22"/>
          <w:szCs w:val="22"/>
          <w:lang w:val="en-US"/>
        </w:rPr>
      </w:pPr>
      <w:r>
        <w:t xml:space="preserve">As discussed in </w:t>
      </w:r>
      <w:r w:rsidR="003C48B5">
        <w:t xml:space="preserve">e.g. </w:t>
      </w:r>
      <w:hyperlink r:id="rId13" w:history="1">
        <w:r w:rsidR="00993C63" w:rsidRPr="003C48B5">
          <w:rPr>
            <w:rStyle w:val="Hyperlink"/>
          </w:rPr>
          <w:t>R1-1910607</w:t>
        </w:r>
      </w:hyperlink>
      <w:r w:rsidR="00993C63">
        <w:t>, w</w:t>
      </w:r>
      <w:r w:rsidR="00C30C47" w:rsidRPr="00C30C47">
        <w:t xml:space="preserve">hile semi-static power sharing </w:t>
      </w:r>
      <w:r w:rsidR="00262700">
        <w:t>is similar</w:t>
      </w:r>
      <w:r w:rsidR="00C30C47" w:rsidRPr="00C30C47">
        <w:t xml:space="preserve"> with </w:t>
      </w:r>
      <w:r w:rsidR="003F77A1">
        <w:t>R</w:t>
      </w:r>
      <w:r w:rsidR="00C30C47" w:rsidRPr="00C30C47">
        <w:t>el-15 con</w:t>
      </w:r>
      <w:r w:rsidR="003F77A1">
        <w:t>c</w:t>
      </w:r>
      <w:r w:rsidR="00C30C47" w:rsidRPr="00C30C47">
        <w:t>ept where either single constant value of peak power or time domain pattern based multiple values of peak power are configure per CG, dynamic power sharing may utilize look</w:t>
      </w:r>
      <w:r w:rsidR="00C30C47" w:rsidRPr="006603CF">
        <w:t>-ahead window which shows benefits on asynchronous DC</w:t>
      </w:r>
      <w:r w:rsidR="00372116" w:rsidRPr="006603CF">
        <w:t>.</w:t>
      </w:r>
    </w:p>
    <w:tbl>
      <w:tblPr>
        <w:tblStyle w:val="TableGrid"/>
        <w:tblW w:w="0" w:type="auto"/>
        <w:tblLook w:val="04A0" w:firstRow="1" w:lastRow="0" w:firstColumn="1" w:lastColumn="0" w:noHBand="0" w:noVBand="1"/>
      </w:tblPr>
      <w:tblGrid>
        <w:gridCol w:w="9631"/>
      </w:tblGrid>
      <w:tr w:rsidR="006603CF" w:rsidRPr="006603CF" w14:paraId="29901260" w14:textId="77777777" w:rsidTr="00ED7D10">
        <w:tc>
          <w:tcPr>
            <w:tcW w:w="9631" w:type="dxa"/>
          </w:tcPr>
          <w:p w14:paraId="7C50245E" w14:textId="6A6EC265" w:rsidR="006603CF" w:rsidRPr="006603CF" w:rsidRDefault="006603CF" w:rsidP="006603CF">
            <w:pPr>
              <w:rPr>
                <w:rFonts w:ascii="Arial" w:hAnsi="Arial" w:cs="Arial"/>
                <w:color w:val="000000" w:themeColor="text1"/>
                <w:lang w:val="en-US"/>
              </w:rPr>
            </w:pPr>
            <w:r w:rsidRPr="00564851">
              <w:rPr>
                <w:rFonts w:ascii="Arial" w:hAnsi="Arial" w:cs="Arial"/>
                <w:b/>
                <w:bCs/>
                <w:color w:val="000000" w:themeColor="text1"/>
                <w:sz w:val="22"/>
                <w:szCs w:val="22"/>
                <w:lang w:val="en-US"/>
              </w:rPr>
              <w:t>Dynamic power sharing with/without look-ahead operation</w:t>
            </w:r>
          </w:p>
        </w:tc>
      </w:tr>
      <w:tr w:rsidR="00ED7D10" w14:paraId="5A045C82" w14:textId="77777777" w:rsidTr="00ED7D10">
        <w:tc>
          <w:tcPr>
            <w:tcW w:w="9631" w:type="dxa"/>
          </w:tcPr>
          <w:p w14:paraId="286598C2" w14:textId="44AFAAD3" w:rsidR="00ED7D10" w:rsidRDefault="00ED7D10" w:rsidP="00ED7D10">
            <w:pPr>
              <w:pStyle w:val="paragraph"/>
              <w:spacing w:before="0" w:beforeAutospacing="0" w:after="0" w:afterAutospacing="0"/>
              <w:textAlignment w:val="baseline"/>
            </w:pPr>
            <w:r>
              <w:rPr>
                <w:rStyle w:val="normaltextrun"/>
                <w:sz w:val="22"/>
                <w:szCs w:val="22"/>
                <w:lang w:val="en-GB"/>
              </w:rPr>
              <w:t>Dynamic power sharing with/without look-ahead operation is supported in Rel-16 with separated UE capability.</w:t>
            </w:r>
            <w:r>
              <w:rPr>
                <w:rStyle w:val="eop"/>
                <w:sz w:val="22"/>
                <w:szCs w:val="22"/>
              </w:rPr>
              <w:t> </w:t>
            </w:r>
          </w:p>
          <w:p w14:paraId="5CA20226" w14:textId="77777777" w:rsidR="00ED7D10" w:rsidRDefault="00ED7D10" w:rsidP="00ED7D10">
            <w:pPr>
              <w:pStyle w:val="paragraph"/>
              <w:spacing w:before="0" w:beforeAutospacing="0" w:after="0" w:afterAutospacing="0"/>
              <w:textAlignment w:val="baseline"/>
            </w:pPr>
            <w:r>
              <w:rPr>
                <w:rStyle w:val="normaltextrun"/>
                <w:sz w:val="22"/>
                <w:szCs w:val="22"/>
                <w:shd w:val="clear" w:color="auto" w:fill="00FF00"/>
              </w:rPr>
              <w:t>Agreements</w:t>
            </w:r>
            <w:r>
              <w:rPr>
                <w:rStyle w:val="normaltextrun"/>
                <w:b/>
                <w:bCs/>
                <w:sz w:val="22"/>
                <w:szCs w:val="22"/>
              </w:rPr>
              <w:t>:</w:t>
            </w:r>
            <w:r>
              <w:rPr>
                <w:rStyle w:val="eop"/>
                <w:sz w:val="22"/>
                <w:szCs w:val="22"/>
              </w:rPr>
              <w:t> </w:t>
            </w:r>
          </w:p>
          <w:p w14:paraId="4E394412" w14:textId="77777777" w:rsidR="00ED7D10" w:rsidRDefault="00ED7D10" w:rsidP="00ED7D10">
            <w:pPr>
              <w:pStyle w:val="paragraph"/>
              <w:numPr>
                <w:ilvl w:val="0"/>
                <w:numId w:val="10"/>
              </w:numPr>
              <w:spacing w:before="0" w:beforeAutospacing="0" w:after="0" w:afterAutospacing="0"/>
              <w:ind w:left="360" w:firstLine="0"/>
              <w:textAlignment w:val="baseline"/>
              <w:rPr>
                <w:sz w:val="20"/>
                <w:szCs w:val="20"/>
              </w:rPr>
            </w:pPr>
            <w:r>
              <w:rPr>
                <w:rStyle w:val="normaltextrun"/>
                <w:sz w:val="20"/>
                <w:szCs w:val="20"/>
              </w:rPr>
              <w:t>Support dynamic power sharing </w:t>
            </w:r>
            <w:r>
              <w:rPr>
                <w:rStyle w:val="eop"/>
                <w:sz w:val="20"/>
                <w:szCs w:val="20"/>
              </w:rPr>
              <w:t> </w:t>
            </w:r>
          </w:p>
          <w:p w14:paraId="05F53F55" w14:textId="77777777" w:rsidR="00ED7D10" w:rsidRDefault="00ED7D10" w:rsidP="00ED7D10">
            <w:pPr>
              <w:pStyle w:val="paragraph"/>
              <w:numPr>
                <w:ilvl w:val="0"/>
                <w:numId w:val="11"/>
              </w:numPr>
              <w:spacing w:before="0" w:beforeAutospacing="0" w:after="0" w:afterAutospacing="0"/>
              <w:ind w:left="1080" w:firstLine="0"/>
              <w:textAlignment w:val="baseline"/>
              <w:rPr>
                <w:sz w:val="20"/>
                <w:szCs w:val="20"/>
              </w:rPr>
            </w:pPr>
            <w:r>
              <w:rPr>
                <w:rStyle w:val="normaltextrun"/>
                <w:sz w:val="20"/>
                <w:szCs w:val="20"/>
              </w:rPr>
              <w:t>If there is no overlapping transmission, maximum power on CG i is determined by RAN4 spec without considering P_CG_i.</w:t>
            </w:r>
            <w:r>
              <w:rPr>
                <w:rStyle w:val="eop"/>
                <w:sz w:val="20"/>
                <w:szCs w:val="20"/>
              </w:rPr>
              <w:t> </w:t>
            </w:r>
          </w:p>
          <w:p w14:paraId="2C8B5CB9" w14:textId="77777777" w:rsidR="00ED7D10" w:rsidRDefault="00ED7D10" w:rsidP="00ED7D10">
            <w:pPr>
              <w:pStyle w:val="paragraph"/>
              <w:numPr>
                <w:ilvl w:val="0"/>
                <w:numId w:val="11"/>
              </w:numPr>
              <w:spacing w:before="0" w:beforeAutospacing="0" w:after="0" w:afterAutospacing="0"/>
              <w:ind w:left="1080" w:firstLine="0"/>
              <w:textAlignment w:val="baseline"/>
              <w:rPr>
                <w:sz w:val="20"/>
                <w:szCs w:val="20"/>
              </w:rPr>
            </w:pPr>
            <w:r>
              <w:rPr>
                <w:rStyle w:val="normaltextrun"/>
                <w:sz w:val="20"/>
                <w:szCs w:val="20"/>
              </w:rPr>
              <w:t>If there is overlapping transmission, maximum power on CG i is limited to P_CG_i.</w:t>
            </w:r>
            <w:r>
              <w:rPr>
                <w:rStyle w:val="eop"/>
                <w:sz w:val="20"/>
                <w:szCs w:val="20"/>
              </w:rPr>
              <w:t> </w:t>
            </w:r>
          </w:p>
          <w:p w14:paraId="7970EB90" w14:textId="77777777" w:rsidR="00ED7D10" w:rsidRDefault="00ED7D10" w:rsidP="00ED7D10">
            <w:pPr>
              <w:pStyle w:val="paragraph"/>
              <w:numPr>
                <w:ilvl w:val="0"/>
                <w:numId w:val="11"/>
              </w:numPr>
              <w:spacing w:before="0" w:beforeAutospacing="0" w:after="0" w:afterAutospacing="0"/>
              <w:ind w:left="1080" w:firstLine="0"/>
              <w:textAlignment w:val="baseline"/>
              <w:rPr>
                <w:sz w:val="20"/>
                <w:szCs w:val="20"/>
              </w:rPr>
            </w:pPr>
            <w:r>
              <w:rPr>
                <w:rStyle w:val="normaltextrun"/>
                <w:sz w:val="20"/>
                <w:szCs w:val="20"/>
              </w:rPr>
              <w:t>Note: “look-ahead” operation is included as a UE capability below</w:t>
            </w:r>
            <w:r>
              <w:rPr>
                <w:rStyle w:val="eop"/>
                <w:sz w:val="20"/>
                <w:szCs w:val="20"/>
              </w:rPr>
              <w:t> </w:t>
            </w:r>
          </w:p>
          <w:p w14:paraId="7C09E2A7" w14:textId="77777777" w:rsidR="00ED7D10" w:rsidRDefault="00ED7D10" w:rsidP="00ED7D10">
            <w:pPr>
              <w:pStyle w:val="paragraph"/>
              <w:numPr>
                <w:ilvl w:val="0"/>
                <w:numId w:val="12"/>
              </w:numPr>
              <w:spacing w:before="0" w:beforeAutospacing="0" w:after="0" w:afterAutospacing="0"/>
              <w:ind w:left="360" w:firstLine="0"/>
              <w:textAlignment w:val="baseline"/>
              <w:rPr>
                <w:sz w:val="20"/>
                <w:szCs w:val="20"/>
              </w:rPr>
            </w:pPr>
            <w:r>
              <w:rPr>
                <w:rStyle w:val="normaltextrun"/>
                <w:sz w:val="20"/>
                <w:szCs w:val="20"/>
              </w:rPr>
              <w:t>In case of power limitation, MCG is prioritized over SCG and reuse CA rule within each CG </w:t>
            </w:r>
            <w:r>
              <w:rPr>
                <w:rStyle w:val="eop"/>
                <w:sz w:val="20"/>
                <w:szCs w:val="20"/>
              </w:rPr>
              <w:t> </w:t>
            </w:r>
          </w:p>
          <w:p w14:paraId="22491DE0" w14:textId="77777777" w:rsidR="00ED7D10" w:rsidRDefault="00ED7D10" w:rsidP="00ED7D10">
            <w:pPr>
              <w:pStyle w:val="paragraph"/>
              <w:numPr>
                <w:ilvl w:val="0"/>
                <w:numId w:val="12"/>
              </w:numPr>
              <w:spacing w:before="0" w:beforeAutospacing="0" w:after="0" w:afterAutospacing="0"/>
              <w:ind w:left="360" w:firstLine="0"/>
              <w:textAlignment w:val="baseline"/>
              <w:rPr>
                <w:sz w:val="20"/>
                <w:szCs w:val="20"/>
              </w:rPr>
            </w:pPr>
            <w:r>
              <w:rPr>
                <w:rStyle w:val="normaltextrun"/>
                <w:sz w:val="20"/>
                <w:szCs w:val="20"/>
              </w:rPr>
              <w:t>Optional UE capability to indicate the support of dynamic power sharing operation </w:t>
            </w:r>
            <w:r>
              <w:rPr>
                <w:rStyle w:val="eop"/>
                <w:sz w:val="20"/>
                <w:szCs w:val="20"/>
              </w:rPr>
              <w:t> </w:t>
            </w:r>
          </w:p>
          <w:p w14:paraId="6A0BE1EE" w14:textId="77777777" w:rsidR="00ED7D10" w:rsidRDefault="00ED7D10" w:rsidP="00ED7D10">
            <w:pPr>
              <w:pStyle w:val="paragraph"/>
              <w:numPr>
                <w:ilvl w:val="0"/>
                <w:numId w:val="12"/>
              </w:numPr>
              <w:spacing w:before="0" w:beforeAutospacing="0" w:after="0" w:afterAutospacing="0"/>
              <w:ind w:left="360" w:firstLine="0"/>
              <w:textAlignment w:val="baseline"/>
            </w:pPr>
            <w:r>
              <w:rPr>
                <w:rStyle w:val="normaltextrun"/>
                <w:sz w:val="20"/>
                <w:szCs w:val="20"/>
              </w:rPr>
              <w:t>Separate optional UE capability to indicate the support of ’look-ahead’ operation on condition that UE indicates support of dynamic power sharing operation. </w:t>
            </w:r>
            <w:r>
              <w:rPr>
                <w:rStyle w:val="eop"/>
                <w:sz w:val="20"/>
                <w:szCs w:val="20"/>
              </w:rPr>
              <w:t> </w:t>
            </w:r>
          </w:p>
          <w:p w14:paraId="564B7889" w14:textId="77777777" w:rsidR="003F5542" w:rsidRDefault="003F5542" w:rsidP="003F5542">
            <w:pPr>
              <w:rPr>
                <w:lang w:val="en-US"/>
              </w:rPr>
            </w:pPr>
          </w:p>
          <w:p w14:paraId="2AB5D52F" w14:textId="63D0A4B4" w:rsidR="003F5542" w:rsidRPr="007943B6" w:rsidRDefault="003F5542" w:rsidP="003F5542">
            <w:pPr>
              <w:rPr>
                <w:lang w:val="en-US"/>
              </w:rPr>
            </w:pPr>
            <w:r w:rsidRPr="003F5542">
              <w:rPr>
                <w:highlight w:val="green"/>
                <w:lang w:val="en-US"/>
              </w:rPr>
              <w:t>Agreements:</w:t>
            </w:r>
          </w:p>
          <w:p w14:paraId="1CC03CC6" w14:textId="77777777" w:rsidR="003F5542" w:rsidRPr="007943B6" w:rsidRDefault="003F5542" w:rsidP="003F5542">
            <w:pPr>
              <w:numPr>
                <w:ilvl w:val="0"/>
                <w:numId w:val="15"/>
              </w:numPr>
              <w:rPr>
                <w:lang w:val="en-US"/>
              </w:rPr>
            </w:pPr>
            <w:r w:rsidRPr="007943B6">
              <w:rPr>
                <w:lang w:val="en-US"/>
              </w:rPr>
              <w:t>For NR-DC dynamic power sharing, to compute the transmit power for SCG UL transmission starting at time T0,</w:t>
            </w:r>
          </w:p>
          <w:p w14:paraId="15E84376" w14:textId="77777777" w:rsidR="003F5542" w:rsidRPr="007943B6" w:rsidRDefault="003F5542" w:rsidP="003F5542">
            <w:pPr>
              <w:numPr>
                <w:ilvl w:val="1"/>
                <w:numId w:val="15"/>
              </w:numPr>
              <w:rPr>
                <w:lang w:val="en-US"/>
              </w:rPr>
            </w:pPr>
            <w:r w:rsidRPr="007943B6">
              <w:rPr>
                <w:lang w:val="en-US"/>
              </w:rPr>
              <w:t xml:space="preserve">UE checks for PDCCH(s) received before time T0-T_offset that trigger an overlapping MCG UL transmission, and </w:t>
            </w:r>
          </w:p>
          <w:p w14:paraId="0A70BCF1" w14:textId="77777777" w:rsidR="003F5542" w:rsidRPr="007943B6" w:rsidRDefault="003F5542" w:rsidP="003F5542">
            <w:pPr>
              <w:numPr>
                <w:ilvl w:val="2"/>
                <w:numId w:val="15"/>
              </w:numPr>
              <w:rPr>
                <w:lang w:val="en-US"/>
              </w:rPr>
            </w:pPr>
            <w:r w:rsidRPr="007943B6">
              <w:rPr>
                <w:lang w:val="en-US"/>
              </w:rPr>
              <w:t>If such PDCCH(s) are detected, UE sets it’s transmit power in SCG (pwr_SCG) such that pwr_SCG &lt;= </w:t>
            </w:r>
            <w:proofErr w:type="gramStart"/>
            <w:r w:rsidRPr="007943B6">
              <w:rPr>
                <w:lang w:val="en-US"/>
              </w:rPr>
              <w:t>min{</w:t>
            </w:r>
            <w:proofErr w:type="gramEnd"/>
            <w:r w:rsidRPr="007943B6">
              <w:rPr>
                <w:lang w:val="en-US"/>
              </w:rPr>
              <w:t>P</w:t>
            </w:r>
            <w:r w:rsidRPr="007943B6">
              <w:rPr>
                <w:vertAlign w:val="subscript"/>
                <w:lang w:val="en-US"/>
              </w:rPr>
              <w:t>SCG</w:t>
            </w:r>
            <w:r w:rsidRPr="007943B6">
              <w:rPr>
                <w:lang w:val="en-US"/>
              </w:rPr>
              <w:t>, P</w:t>
            </w:r>
            <w:r w:rsidRPr="007943B6">
              <w:rPr>
                <w:vertAlign w:val="subscript"/>
                <w:lang w:val="en-US"/>
              </w:rPr>
              <w:t>total</w:t>
            </w:r>
            <w:r w:rsidRPr="007943B6">
              <w:rPr>
                <w:lang w:val="en-US"/>
              </w:rPr>
              <w:t> – MCG tx power} where ‘MCG tx power’ is the actual transmission power of MCG</w:t>
            </w:r>
          </w:p>
          <w:p w14:paraId="220D306F" w14:textId="77777777" w:rsidR="003F5542" w:rsidRPr="007943B6" w:rsidRDefault="003F5542" w:rsidP="003F5542">
            <w:pPr>
              <w:numPr>
                <w:ilvl w:val="2"/>
                <w:numId w:val="15"/>
              </w:numPr>
              <w:rPr>
                <w:lang w:val="en-US"/>
              </w:rPr>
            </w:pPr>
            <w:r w:rsidRPr="007943B6">
              <w:rPr>
                <w:lang w:val="en-US"/>
              </w:rPr>
              <w:t>Otherwise, pwr_SCG &lt;= P</w:t>
            </w:r>
            <w:r w:rsidRPr="007943B6">
              <w:rPr>
                <w:vertAlign w:val="subscript"/>
                <w:lang w:val="en-US"/>
              </w:rPr>
              <w:t>total</w:t>
            </w:r>
            <w:r w:rsidRPr="007943B6">
              <w:rPr>
                <w:lang w:val="en-US"/>
              </w:rPr>
              <w:t xml:space="preserve">;  </w:t>
            </w:r>
          </w:p>
          <w:p w14:paraId="6F07E5B8" w14:textId="77777777" w:rsidR="003F5542" w:rsidRPr="007943B6" w:rsidRDefault="003F5542" w:rsidP="003F5542">
            <w:pPr>
              <w:numPr>
                <w:ilvl w:val="1"/>
                <w:numId w:val="15"/>
              </w:numPr>
              <w:rPr>
                <w:lang w:val="en-US"/>
              </w:rPr>
            </w:pPr>
            <w:r w:rsidRPr="007943B6">
              <w:rPr>
                <w:lang w:val="en-US"/>
              </w:rPr>
              <w:t xml:space="preserve">UE does not expect to be scheduled by PDCCH(s) received on MCG after T0-[T_offset] that trigger(s) MCG UL transmission(s) that overlaps with the SCG transmission.  </w:t>
            </w:r>
          </w:p>
          <w:p w14:paraId="1D04A40E" w14:textId="77777777" w:rsidR="003F5542" w:rsidRPr="007943B6" w:rsidRDefault="003F5542" w:rsidP="003F5542">
            <w:pPr>
              <w:numPr>
                <w:ilvl w:val="2"/>
                <w:numId w:val="15"/>
              </w:numPr>
              <w:rPr>
                <w:lang w:val="en-US"/>
              </w:rPr>
            </w:pPr>
            <w:r w:rsidRPr="007943B6">
              <w:rPr>
                <w:lang w:val="en-US"/>
              </w:rPr>
              <w:t>(</w:t>
            </w:r>
            <w:r w:rsidRPr="007943B6">
              <w:rPr>
                <w:highlight w:val="darkYellow"/>
                <w:lang w:val="en-US"/>
              </w:rPr>
              <w:t>working assumption</w:t>
            </w:r>
            <w:r w:rsidRPr="007943B6">
              <w:rPr>
                <w:lang w:val="en-US"/>
              </w:rPr>
              <w:t xml:space="preserve">) No new RRC signaling is introduced for T_offset: </w:t>
            </w:r>
          </w:p>
          <w:p w14:paraId="56166941" w14:textId="77777777" w:rsidR="003F5542" w:rsidRPr="007943B6" w:rsidRDefault="003F5542" w:rsidP="003F5542">
            <w:pPr>
              <w:numPr>
                <w:ilvl w:val="3"/>
                <w:numId w:val="15"/>
              </w:numPr>
              <w:rPr>
                <w:lang w:val="en-US"/>
              </w:rPr>
            </w:pPr>
            <w:r w:rsidRPr="007943B6">
              <w:rPr>
                <w:lang w:val="en-US"/>
              </w:rPr>
              <w:t>Alt.1: T_offset &lt;= T_proc,2</w:t>
            </w:r>
          </w:p>
          <w:p w14:paraId="34D0B6FC" w14:textId="77777777" w:rsidR="003F5542" w:rsidRPr="007943B6" w:rsidRDefault="003F5542" w:rsidP="003F5542">
            <w:pPr>
              <w:numPr>
                <w:ilvl w:val="3"/>
                <w:numId w:val="15"/>
              </w:numPr>
              <w:rPr>
                <w:lang w:val="en-US"/>
              </w:rPr>
            </w:pPr>
            <w:r w:rsidRPr="007943B6">
              <w:rPr>
                <w:lang w:val="en-US"/>
              </w:rPr>
              <w:t>Alt.2: T_offset &lt;= 2*T_proc,2</w:t>
            </w:r>
          </w:p>
          <w:p w14:paraId="4608A941" w14:textId="77777777" w:rsidR="003F5542" w:rsidRPr="007943B6" w:rsidRDefault="003F5542" w:rsidP="003F5542">
            <w:pPr>
              <w:numPr>
                <w:ilvl w:val="3"/>
                <w:numId w:val="15"/>
              </w:numPr>
              <w:rPr>
                <w:lang w:val="en-US"/>
              </w:rPr>
            </w:pPr>
            <w:r w:rsidRPr="007943B6">
              <w:rPr>
                <w:lang w:val="en-US"/>
              </w:rPr>
              <w:t>Alt.3: T_offset reasonbly larger than Alt 1. &amp; Alt 2 but &lt;=4ms</w:t>
            </w:r>
          </w:p>
          <w:p w14:paraId="5551F5EF" w14:textId="77777777" w:rsidR="003F5542" w:rsidRPr="007943B6" w:rsidRDefault="003F5542" w:rsidP="003F5542">
            <w:pPr>
              <w:numPr>
                <w:ilvl w:val="3"/>
                <w:numId w:val="15"/>
              </w:numPr>
              <w:rPr>
                <w:lang w:val="en-US"/>
              </w:rPr>
            </w:pPr>
            <w:r w:rsidRPr="007943B6">
              <w:rPr>
                <w:lang w:val="en-US"/>
              </w:rPr>
              <w:t>To be addressed in the CR stage</w:t>
            </w:r>
          </w:p>
          <w:p w14:paraId="215F2468" w14:textId="32FF3D95" w:rsidR="003F5542" w:rsidRDefault="003F5542" w:rsidP="00FF414A">
            <w:pPr>
              <w:rPr>
                <w:lang w:val="en-US"/>
              </w:rPr>
            </w:pPr>
          </w:p>
        </w:tc>
      </w:tr>
    </w:tbl>
    <w:p w14:paraId="283190B9" w14:textId="77777777" w:rsidR="002D3544" w:rsidRDefault="002D3544" w:rsidP="00AD2B9B">
      <w:pPr>
        <w:ind w:left="1420" w:hanging="1140"/>
      </w:pPr>
    </w:p>
    <w:p w14:paraId="6AA0C889" w14:textId="42F410B4" w:rsidR="00AD2B9B" w:rsidRDefault="00AD2B9B" w:rsidP="00AD2B9B">
      <w:pPr>
        <w:ind w:left="1420" w:hanging="1140"/>
      </w:pPr>
      <w:proofErr w:type="gramStart"/>
      <w:r>
        <w:t>So</w:t>
      </w:r>
      <w:proofErr w:type="gramEnd"/>
      <w:r>
        <w:t xml:space="preserve"> based on the agreements we have that:</w:t>
      </w:r>
    </w:p>
    <w:p w14:paraId="353A1FF0" w14:textId="36AE65F9" w:rsidR="00AD2B9B" w:rsidRPr="00941958" w:rsidRDefault="00AD2B9B" w:rsidP="0066590C">
      <w:pPr>
        <w:numPr>
          <w:ilvl w:val="0"/>
          <w:numId w:val="16"/>
        </w:numPr>
        <w:rPr>
          <w:lang w:val="en-US"/>
        </w:rPr>
      </w:pPr>
      <w:r w:rsidRPr="00941958">
        <w:rPr>
          <w:lang w:val="en-US"/>
        </w:rPr>
        <w:t>UE determines its tx power for MCG without look-ahead operation</w:t>
      </w:r>
      <w:r w:rsidR="00B46B98" w:rsidRPr="00941958">
        <w:rPr>
          <w:lang w:val="en-US"/>
        </w:rPr>
        <w:t>. For MCG there is no look-ahead approach</w:t>
      </w:r>
      <w:r w:rsidRPr="00941958">
        <w:rPr>
          <w:lang w:val="en-US"/>
        </w:rPr>
        <w:t xml:space="preserve">. </w:t>
      </w:r>
    </w:p>
    <w:p w14:paraId="11E810CF" w14:textId="77777777" w:rsidR="00AD2B9B" w:rsidRPr="00254331" w:rsidRDefault="00AD2B9B" w:rsidP="00AD2B9B">
      <w:pPr>
        <w:numPr>
          <w:ilvl w:val="1"/>
          <w:numId w:val="16"/>
        </w:numPr>
        <w:rPr>
          <w:lang w:val="en-US"/>
        </w:rPr>
      </w:pPr>
      <w:r w:rsidRPr="00254331">
        <w:rPr>
          <w:lang w:val="en-US"/>
        </w:rPr>
        <w:t xml:space="preserve">If there is no SCG transmission ongoing, UE can </w:t>
      </w:r>
      <w:proofErr w:type="gramStart"/>
      <w:r w:rsidRPr="00254331">
        <w:rPr>
          <w:lang w:val="en-US"/>
        </w:rPr>
        <w:t>performs</w:t>
      </w:r>
      <w:proofErr w:type="gramEnd"/>
      <w:r w:rsidRPr="00254331">
        <w:rPr>
          <w:lang w:val="en-US"/>
        </w:rPr>
        <w:t xml:space="preserve"> full power transmission in MCG</w:t>
      </w:r>
    </w:p>
    <w:p w14:paraId="0ED987C7" w14:textId="77777777" w:rsidR="00AD2B9B" w:rsidRPr="00254331" w:rsidRDefault="00AD2B9B" w:rsidP="00AD2B9B">
      <w:pPr>
        <w:numPr>
          <w:ilvl w:val="1"/>
          <w:numId w:val="16"/>
        </w:numPr>
        <w:rPr>
          <w:lang w:val="en-US"/>
        </w:rPr>
      </w:pPr>
      <w:r w:rsidRPr="00254331">
        <w:rPr>
          <w:lang w:val="en-US"/>
        </w:rPr>
        <w:t>If there is on-going SCG transmission, UE can use remained power for MCG transmission</w:t>
      </w:r>
    </w:p>
    <w:p w14:paraId="4A3AA812" w14:textId="6F69DD9D" w:rsidR="00AD2B9B" w:rsidRPr="0066590C" w:rsidRDefault="00FF72BE" w:rsidP="0066590C">
      <w:pPr>
        <w:numPr>
          <w:ilvl w:val="0"/>
          <w:numId w:val="16"/>
        </w:numPr>
        <w:rPr>
          <w:lang w:val="en-US"/>
        </w:rPr>
      </w:pPr>
      <w:r>
        <w:rPr>
          <w:lang w:val="en-US"/>
        </w:rPr>
        <w:lastRenderedPageBreak/>
        <w:t xml:space="preserve">In case of </w:t>
      </w:r>
      <w:r w:rsidR="00BC75FF">
        <w:rPr>
          <w:lang w:val="en-US"/>
        </w:rPr>
        <w:t xml:space="preserve">UL </w:t>
      </w:r>
      <w:r>
        <w:rPr>
          <w:lang w:val="en-US"/>
        </w:rPr>
        <w:t xml:space="preserve">SCG transmission, UE determines its tx power for SCG with or without look-ahead window. But per latest RAN1 agreements, it was prioritized the case when </w:t>
      </w:r>
      <w:r w:rsidR="00AD2B9B" w:rsidRPr="0066590C">
        <w:rPr>
          <w:lang w:val="en-US"/>
        </w:rPr>
        <w:t xml:space="preserve">UE determines its tx power for SCG with look-ahead operation </w:t>
      </w:r>
    </w:p>
    <w:p w14:paraId="359DA23C" w14:textId="3BCC2AF5" w:rsidR="006D53A6" w:rsidRDefault="006D53A6" w:rsidP="000520C3">
      <w:pPr>
        <w:ind w:left="1136"/>
        <w:rPr>
          <w:lang w:val="en-US"/>
        </w:rPr>
      </w:pPr>
      <w:r>
        <w:rPr>
          <w:lang w:val="en-US"/>
        </w:rPr>
        <w:t>Assume UE is scheduled in SCG UL transmission, at which point the look-ahead window operation starts:</w:t>
      </w:r>
    </w:p>
    <w:p w14:paraId="133AF669" w14:textId="08D1F148" w:rsidR="006D53A6" w:rsidRDefault="006D53A6" w:rsidP="006D53A6">
      <w:pPr>
        <w:numPr>
          <w:ilvl w:val="1"/>
          <w:numId w:val="16"/>
        </w:numPr>
        <w:rPr>
          <w:lang w:val="en-US"/>
        </w:rPr>
      </w:pPr>
      <w:r w:rsidRPr="006D53A6">
        <w:rPr>
          <w:b/>
          <w:bCs/>
          <w:lang w:val="en-US"/>
        </w:rPr>
        <w:t>Only SCG UL operation may be affected by look-ahead</w:t>
      </w:r>
      <w:r>
        <w:rPr>
          <w:lang w:val="en-US"/>
        </w:rPr>
        <w:t xml:space="preserve">: MCG UL operation remains unchanged by look-ahead: That is, if UE receives MCG UL scheduling, it will always respond to that in the same way as in Rel-15. </w:t>
      </w:r>
      <w:r w:rsidR="00D41D4E">
        <w:rPr>
          <w:lang w:val="en-US"/>
        </w:rPr>
        <w:t xml:space="preserve">Hence, </w:t>
      </w:r>
      <w:r w:rsidR="00F77E6D" w:rsidRPr="000849A2">
        <w:rPr>
          <w:u w:val="single"/>
          <w:lang w:val="en-US"/>
        </w:rPr>
        <w:t>MCG UL operation should never be affected by the look-ahead.</w:t>
      </w:r>
    </w:p>
    <w:p w14:paraId="599C096D" w14:textId="32FAF05D" w:rsidR="006D53A6" w:rsidRDefault="006D53A6" w:rsidP="006D53A6">
      <w:pPr>
        <w:numPr>
          <w:ilvl w:val="1"/>
          <w:numId w:val="16"/>
        </w:numPr>
        <w:rPr>
          <w:lang w:val="en-US"/>
        </w:rPr>
      </w:pPr>
      <w:r w:rsidRPr="006D53A6">
        <w:rPr>
          <w:b/>
          <w:bCs/>
          <w:lang w:val="en-US"/>
        </w:rPr>
        <w:t>If UE receives no MCG UL scheduling during the look-ahead windo</w:t>
      </w:r>
      <w:r>
        <w:rPr>
          <w:b/>
          <w:bCs/>
          <w:lang w:val="en-US"/>
        </w:rPr>
        <w:t>w:</w:t>
      </w:r>
      <w:r>
        <w:rPr>
          <w:lang w:val="en-US"/>
        </w:rPr>
        <w:t xml:space="preserve"> </w:t>
      </w:r>
      <w:r w:rsidRPr="00A37284">
        <w:rPr>
          <w:lang w:val="en-US"/>
        </w:rPr>
        <w:t xml:space="preserve">UE </w:t>
      </w:r>
      <w:r>
        <w:rPr>
          <w:lang w:val="en-US"/>
        </w:rPr>
        <w:t xml:space="preserve">shall </w:t>
      </w:r>
      <w:r w:rsidRPr="00A37284">
        <w:rPr>
          <w:lang w:val="en-US"/>
        </w:rPr>
        <w:t>utilize full power for SCG UL transmission</w:t>
      </w:r>
      <w:r>
        <w:rPr>
          <w:lang w:val="en-US"/>
        </w:rPr>
        <w:t xml:space="preserve"> (i.e. according to SCG UL PC)</w:t>
      </w:r>
      <w:r w:rsidR="00F77E6D">
        <w:rPr>
          <w:lang w:val="en-US"/>
        </w:rPr>
        <w:t xml:space="preserve">. </w:t>
      </w:r>
      <w:r w:rsidR="00D41D4E" w:rsidRPr="000849A2">
        <w:rPr>
          <w:u w:val="single"/>
          <w:lang w:val="en-US"/>
        </w:rPr>
        <w:t>Hence, the look-ahead window allows SCG to use full UL power in case MCG abstains from scheduling UL for the UE.</w:t>
      </w:r>
    </w:p>
    <w:p w14:paraId="52228119" w14:textId="690FBB4F" w:rsidR="006D53A6" w:rsidRDefault="006D53A6" w:rsidP="006D53A6">
      <w:pPr>
        <w:numPr>
          <w:ilvl w:val="1"/>
          <w:numId w:val="16"/>
        </w:numPr>
        <w:rPr>
          <w:lang w:val="en-US"/>
        </w:rPr>
      </w:pPr>
      <w:r w:rsidRPr="006D53A6">
        <w:rPr>
          <w:b/>
          <w:bCs/>
          <w:lang w:val="en-US"/>
        </w:rPr>
        <w:t>If UE receives MCG UL scheduling during the look-ahead windo</w:t>
      </w:r>
      <w:r>
        <w:rPr>
          <w:b/>
          <w:bCs/>
          <w:lang w:val="en-US"/>
        </w:rPr>
        <w:t xml:space="preserve">w: </w:t>
      </w:r>
      <w:r w:rsidRPr="00A37284">
        <w:rPr>
          <w:lang w:val="en-US"/>
        </w:rPr>
        <w:t xml:space="preserve">UE </w:t>
      </w:r>
      <w:r>
        <w:rPr>
          <w:lang w:val="en-US"/>
        </w:rPr>
        <w:t xml:space="preserve">will shall only use up to MP_SCG for the </w:t>
      </w:r>
      <w:r w:rsidRPr="00A37284">
        <w:rPr>
          <w:lang w:val="en-US"/>
        </w:rPr>
        <w:t xml:space="preserve">SCG </w:t>
      </w:r>
      <w:r>
        <w:rPr>
          <w:lang w:val="en-US"/>
        </w:rPr>
        <w:t xml:space="preserve">UL transmission </w:t>
      </w:r>
      <w:r w:rsidRPr="00A37284">
        <w:rPr>
          <w:lang w:val="en-US"/>
        </w:rPr>
        <w:t>power</w:t>
      </w:r>
      <w:r>
        <w:rPr>
          <w:lang w:val="en-US"/>
        </w:rPr>
        <w:t xml:space="preserve"> (i.e. SCG UL power may be reduced)</w:t>
      </w:r>
      <w:r w:rsidR="00D41D4E">
        <w:rPr>
          <w:lang w:val="en-US"/>
        </w:rPr>
        <w:t xml:space="preserve">. </w:t>
      </w:r>
      <w:r w:rsidR="00D41D4E" w:rsidRPr="000849A2">
        <w:rPr>
          <w:u w:val="single"/>
          <w:lang w:val="en-US"/>
        </w:rPr>
        <w:t>Hence, if MCG schedules the UE for UL transmission, there is impact to available power for SCG UL transmissions</w:t>
      </w:r>
      <w:r w:rsidR="008B5B27" w:rsidRPr="000849A2">
        <w:rPr>
          <w:u w:val="single"/>
          <w:lang w:val="en-US"/>
        </w:rPr>
        <w:t>.</w:t>
      </w:r>
    </w:p>
    <w:p w14:paraId="10BF8882" w14:textId="2D2411AF" w:rsidR="006D53A6" w:rsidRDefault="006D53A6" w:rsidP="006D53A6">
      <w:pPr>
        <w:numPr>
          <w:ilvl w:val="1"/>
          <w:numId w:val="16"/>
        </w:numPr>
        <w:rPr>
          <w:lang w:val="en-US"/>
        </w:rPr>
      </w:pPr>
      <w:r w:rsidRPr="006D53A6">
        <w:rPr>
          <w:b/>
          <w:bCs/>
          <w:lang w:val="en-US"/>
        </w:rPr>
        <w:t>If UE receives MCG UL scheduling after the look-ahead window, MCG+SCG UL overlap may occur</w:t>
      </w:r>
      <w:r>
        <w:rPr>
          <w:b/>
          <w:bCs/>
          <w:lang w:val="en-US"/>
        </w:rPr>
        <w:t>:</w:t>
      </w:r>
      <w:r>
        <w:rPr>
          <w:lang w:val="en-US"/>
        </w:rPr>
        <w:t xml:space="preserve"> UE shall always utilize MCG UL power as scheduled (i.e. MCG is prioritized), which may impact </w:t>
      </w:r>
      <w:r w:rsidRPr="00A37284">
        <w:rPr>
          <w:lang w:val="en-US"/>
        </w:rPr>
        <w:t xml:space="preserve">SCG </w:t>
      </w:r>
      <w:r>
        <w:rPr>
          <w:lang w:val="en-US"/>
        </w:rPr>
        <w:t xml:space="preserve">UL </w:t>
      </w:r>
      <w:r w:rsidRPr="00A37284">
        <w:rPr>
          <w:lang w:val="en-US"/>
        </w:rPr>
        <w:t xml:space="preserve">transmission </w:t>
      </w:r>
      <w:r>
        <w:rPr>
          <w:lang w:val="en-US"/>
        </w:rPr>
        <w:t>power (i.e. this may clip the SCG UL power during the SCG UL trannsmission, which means network should avoid doing this as it may destroy the reception of the UL signal).</w:t>
      </w:r>
      <w:r w:rsidR="008B5B27">
        <w:rPr>
          <w:lang w:val="en-US"/>
        </w:rPr>
        <w:t xml:space="preserve"> </w:t>
      </w:r>
      <w:r w:rsidR="008B5B27" w:rsidRPr="000849A2">
        <w:rPr>
          <w:u w:val="single"/>
          <w:lang w:val="en-US"/>
        </w:rPr>
        <w:t>Hence, network should avoid having such cases to occur as they can impact the system performance.</w:t>
      </w:r>
    </w:p>
    <w:p w14:paraId="1F7EAC13" w14:textId="77777777" w:rsidR="006D53A6" w:rsidRDefault="006D53A6" w:rsidP="00FF414A">
      <w:pPr>
        <w:rPr>
          <w:lang w:val="en-US"/>
        </w:rPr>
      </w:pPr>
    </w:p>
    <w:p w14:paraId="1071A249" w14:textId="11638214" w:rsidR="00B30AD0" w:rsidRDefault="00FF414A" w:rsidP="00FF414A">
      <w:pPr>
        <w:rPr>
          <w:lang w:val="en-US"/>
        </w:rPr>
      </w:pPr>
      <w:r w:rsidRPr="00FF414A">
        <w:rPr>
          <w:lang w:val="en-US"/>
        </w:rPr>
        <w:t xml:space="preserve">In case of partially overlapped UL transmissions, when the later transmission has higher priority than the early one, UE may reduce the transmission power for remained part of early </w:t>
      </w:r>
      <w:r w:rsidR="002E231C" w:rsidRPr="00FF414A">
        <w:rPr>
          <w:lang w:val="en-US"/>
        </w:rPr>
        <w:t>transmission or</w:t>
      </w:r>
      <w:r w:rsidRPr="00FF414A">
        <w:rPr>
          <w:lang w:val="en-US"/>
        </w:rPr>
        <w:t xml:space="preserve"> drop the remained part of the early transmission. The partial drop or partial transmission can be prevented by dynamic look-ahead. </w:t>
      </w:r>
    </w:p>
    <w:p w14:paraId="5F01C058" w14:textId="015B2003" w:rsidR="00A209D6" w:rsidRPr="006E13D1" w:rsidRDefault="00A209D6" w:rsidP="00C1572A">
      <w:pPr>
        <w:pStyle w:val="Heading1"/>
      </w:pPr>
      <w:r w:rsidRPr="006E13D1">
        <w:t>3</w:t>
      </w:r>
      <w:r w:rsidRPr="006E13D1">
        <w:tab/>
      </w:r>
      <w:r w:rsidR="00C30378">
        <w:t>DPS o</w:t>
      </w:r>
      <w:r w:rsidR="00995E76">
        <w:t>peration with look-ahead</w:t>
      </w:r>
    </w:p>
    <w:p w14:paraId="613CD2F3" w14:textId="7A0EDDA3" w:rsidR="00A209D6" w:rsidRDefault="0057263C" w:rsidP="00A209D6">
      <w:r>
        <w:t>According to RAN1#100e the following agreements were done:</w:t>
      </w:r>
    </w:p>
    <w:tbl>
      <w:tblPr>
        <w:tblStyle w:val="TableGrid"/>
        <w:tblW w:w="0" w:type="auto"/>
        <w:tblLook w:val="04A0" w:firstRow="1" w:lastRow="0" w:firstColumn="1" w:lastColumn="0" w:noHBand="0" w:noVBand="1"/>
      </w:tblPr>
      <w:tblGrid>
        <w:gridCol w:w="9631"/>
      </w:tblGrid>
      <w:tr w:rsidR="0057263C" w14:paraId="37FD2BAF" w14:textId="77777777" w:rsidTr="0038033D">
        <w:tc>
          <w:tcPr>
            <w:tcW w:w="9855" w:type="dxa"/>
          </w:tcPr>
          <w:p w14:paraId="3EF93CA7" w14:textId="0A6A2C86" w:rsidR="0057263C" w:rsidRPr="00F47E5E" w:rsidRDefault="0057263C" w:rsidP="0038033D">
            <w:pPr>
              <w:spacing w:before="120"/>
              <w:jc w:val="both"/>
              <w:rPr>
                <w:rFonts w:ascii="Arial" w:hAnsi="Arial" w:cs="Arial"/>
              </w:rPr>
            </w:pPr>
            <w:r>
              <w:rPr>
                <w:rFonts w:ascii="Arial" w:hAnsi="Arial" w:cs="Arial"/>
              </w:rPr>
              <w:t>Update the previous agreement as follows (</w:t>
            </w:r>
            <w:r w:rsidRPr="00C4583B">
              <w:rPr>
                <w:rFonts w:ascii="Arial" w:hAnsi="Arial" w:cs="Arial"/>
                <w:color w:val="FF0000"/>
              </w:rPr>
              <w:t>changes in red</w:t>
            </w:r>
            <w:r>
              <w:rPr>
                <w:rFonts w:ascii="Arial" w:hAnsi="Arial" w:cs="Arial"/>
              </w:rPr>
              <w:t>):</w:t>
            </w:r>
          </w:p>
          <w:p w14:paraId="7A98B4E5" w14:textId="77777777" w:rsidR="0057263C" w:rsidRPr="00F47E5E" w:rsidRDefault="0057263C" w:rsidP="0038033D">
            <w:pPr>
              <w:spacing w:after="12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4F60BA6A" w14:textId="77777777" w:rsidR="0057263C" w:rsidRPr="00F47E5E" w:rsidRDefault="0057263C" w:rsidP="0038033D">
            <w:pPr>
              <w:pStyle w:val="ListParagraph"/>
              <w:spacing w:after="120"/>
              <w:ind w:left="360" w:hanging="360"/>
              <w:jc w:val="both"/>
              <w:rPr>
                <w:rFonts w:ascii="Arial" w:hAnsi="Arial" w:cs="Arial"/>
                <w:sz w:val="20"/>
                <w:szCs w:val="20"/>
              </w:rPr>
            </w:pPr>
            <w:r w:rsidRPr="00F47E5E">
              <w:rPr>
                <w:rFonts w:ascii="Arial" w:hAnsi="Arial" w:cs="Arial"/>
                <w:color w:val="000000"/>
                <w:sz w:val="20"/>
                <w:szCs w:val="20"/>
              </w:rPr>
              <w:t>·        </w:t>
            </w:r>
            <w:r w:rsidRPr="00F47E5E">
              <w:rPr>
                <w:rStyle w:val="apple-converted-space"/>
                <w:rFonts w:ascii="Arial" w:hAnsi="Arial" w:cs="Arial"/>
                <w:color w:val="000000"/>
                <w:sz w:val="20"/>
                <w:szCs w:val="20"/>
              </w:rPr>
              <w:t> </w:t>
            </w:r>
            <w:r w:rsidRPr="00F47E5E">
              <w:rPr>
                <w:rFonts w:ascii="Arial" w:hAnsi="Arial" w:cs="Arial"/>
                <w:color w:val="000000"/>
                <w:sz w:val="20"/>
                <w:szCs w:val="20"/>
              </w:rPr>
              <w:t>For NR-DC dynamic power sharing, to compute the transmit power for SCG UL transmission starting at time T0,</w:t>
            </w:r>
          </w:p>
          <w:p w14:paraId="4CDC4CD9" w14:textId="77777777" w:rsidR="0057263C" w:rsidRPr="00C34C9F" w:rsidRDefault="0057263C" w:rsidP="0038033D">
            <w:pPr>
              <w:numPr>
                <w:ilvl w:val="0"/>
                <w:numId w:val="13"/>
              </w:numPr>
              <w:spacing w:after="120"/>
              <w:jc w:val="both"/>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3A7D0097" w14:textId="77777777" w:rsidR="0057263C" w:rsidRPr="00C34C9F" w:rsidRDefault="0057263C" w:rsidP="0038033D">
            <w:pPr>
              <w:numPr>
                <w:ilvl w:val="1"/>
                <w:numId w:val="13"/>
              </w:numPr>
              <w:spacing w:after="120"/>
              <w:ind w:left="1800"/>
              <w:jc w:val="both"/>
              <w:rPr>
                <w:rFonts w:ascii="Arial" w:hAnsi="Arial" w:cs="Arial"/>
                <w:color w:val="000000"/>
              </w:rPr>
            </w:pPr>
            <w:r w:rsidRPr="00C34C9F">
              <w:rPr>
                <w:rFonts w:ascii="Arial" w:hAnsi="Arial" w:cs="Arial"/>
                <w:color w:val="000000"/>
              </w:rPr>
              <w:t>If such PDCCH(s) are detected, UE sets it’s transmit power in SCG (pwr_SCG) such that pwr_SCG &lt;= </w:t>
            </w:r>
            <w:proofErr w:type="gramStart"/>
            <w:r w:rsidRPr="00C34C9F">
              <w:rPr>
                <w:rFonts w:ascii="Arial" w:hAnsi="Arial" w:cs="Arial"/>
                <w:color w:val="000000"/>
              </w:rPr>
              <w:t>min{</w:t>
            </w:r>
            <w:proofErr w:type="gramEnd"/>
            <w:r w:rsidRPr="00C34C9F">
              <w:rPr>
                <w:rFonts w:ascii="Arial" w:hAnsi="Arial" w:cs="Arial"/>
                <w:color w:val="000000"/>
              </w:rPr>
              <w:t>P</w:t>
            </w:r>
            <w:r w:rsidRPr="00C34C9F">
              <w:rPr>
                <w:rFonts w:ascii="Arial" w:hAnsi="Arial" w:cs="Arial"/>
                <w:color w:val="000000"/>
                <w:vertAlign w:val="subscript"/>
              </w:rPr>
              <w:t>SCG</w:t>
            </w:r>
            <w:r w:rsidRPr="00C34C9F">
              <w:rPr>
                <w:rFonts w:ascii="Arial" w:hAnsi="Arial" w:cs="Arial"/>
                <w:color w:val="000000"/>
              </w:rPr>
              <w:t>, P</w:t>
            </w:r>
            <w:r w:rsidRPr="00C34C9F">
              <w:rPr>
                <w:rFonts w:ascii="Arial" w:hAnsi="Arial" w:cs="Arial"/>
                <w:color w:val="000000"/>
                <w:vertAlign w:val="subscript"/>
              </w:rPr>
              <w:t>total</w:t>
            </w:r>
            <w:r w:rsidRPr="00C34C9F">
              <w:rPr>
                <w:rFonts w:ascii="Arial" w:hAnsi="Arial" w:cs="Arial"/>
                <w:color w:val="000000"/>
              </w:rPr>
              <w:t> – MCG tx power} where ‘MCG tx power’ is the actual transmission power of MCG</w:t>
            </w:r>
          </w:p>
          <w:p w14:paraId="688C7FF0" w14:textId="77777777" w:rsidR="0057263C" w:rsidRPr="00C34C9F" w:rsidRDefault="0057263C" w:rsidP="0038033D">
            <w:pPr>
              <w:numPr>
                <w:ilvl w:val="1"/>
                <w:numId w:val="13"/>
              </w:numPr>
              <w:spacing w:after="120"/>
              <w:ind w:left="1800"/>
              <w:jc w:val="both"/>
              <w:rPr>
                <w:rFonts w:ascii="Arial" w:hAnsi="Arial" w:cs="Arial"/>
                <w:color w:val="000000"/>
              </w:rPr>
            </w:pPr>
            <w:r w:rsidRPr="00C34C9F">
              <w:rPr>
                <w:rFonts w:ascii="Arial" w:hAnsi="Arial" w:cs="Arial"/>
                <w:color w:val="000000"/>
              </w:rPr>
              <w:t>Otherwise, pwr_SCG &lt;= P</w:t>
            </w:r>
            <w:r w:rsidRPr="00C34C9F">
              <w:rPr>
                <w:rFonts w:ascii="Arial" w:hAnsi="Arial" w:cs="Arial"/>
                <w:color w:val="000000"/>
                <w:vertAlign w:val="subscript"/>
              </w:rPr>
              <w:t>total</w:t>
            </w:r>
            <w:r w:rsidRPr="00C34C9F">
              <w:rPr>
                <w:rFonts w:ascii="Arial" w:hAnsi="Arial" w:cs="Arial"/>
                <w:color w:val="000000"/>
              </w:rPr>
              <w:t>; </w:t>
            </w:r>
          </w:p>
          <w:p w14:paraId="71150748" w14:textId="77777777" w:rsidR="0057263C" w:rsidRPr="00C34C9F" w:rsidRDefault="0057263C" w:rsidP="0038033D">
            <w:pPr>
              <w:numPr>
                <w:ilvl w:val="0"/>
                <w:numId w:val="13"/>
              </w:numPr>
              <w:spacing w:after="120"/>
              <w:jc w:val="both"/>
              <w:rPr>
                <w:rFonts w:ascii="Arial" w:hAnsi="Arial" w:cs="Arial"/>
                <w:color w:val="000000"/>
              </w:rPr>
            </w:pPr>
            <w:r w:rsidRPr="00C34C9F">
              <w:rPr>
                <w:rFonts w:ascii="Arial" w:hAnsi="Arial" w:cs="Arial"/>
                <w:color w:val="000000"/>
              </w:rPr>
              <w:t>UE does not expect to be scheduled by PDCCH(s) received on MCG after T0-[T_offset] that trigger(s) MCG UL transmission(s) that overlaps with the SCG transmission. </w:t>
            </w:r>
          </w:p>
          <w:p w14:paraId="4EC540FA" w14:textId="77777777" w:rsidR="0057263C" w:rsidRPr="00C34C9F" w:rsidRDefault="0057263C" w:rsidP="0038033D">
            <w:pPr>
              <w:numPr>
                <w:ilvl w:val="1"/>
                <w:numId w:val="13"/>
              </w:numPr>
              <w:spacing w:after="120"/>
              <w:ind w:left="1800"/>
              <w:jc w:val="both"/>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No new RRC signaling is introduced for T_offset:</w:t>
            </w:r>
          </w:p>
          <w:p w14:paraId="005A9F59" w14:textId="77777777" w:rsidR="0057263C" w:rsidRPr="00AE3C53" w:rsidRDefault="0057263C" w:rsidP="0038033D">
            <w:pPr>
              <w:numPr>
                <w:ilvl w:val="2"/>
                <w:numId w:val="13"/>
              </w:numPr>
              <w:spacing w:after="120"/>
              <w:ind w:left="2880"/>
              <w:jc w:val="both"/>
              <w:rPr>
                <w:rFonts w:ascii="Arial" w:hAnsi="Arial" w:cs="Arial"/>
                <w:color w:val="FF0000"/>
              </w:rPr>
            </w:pPr>
            <w:r w:rsidRPr="00AE3C53">
              <w:rPr>
                <w:rFonts w:ascii="Arial" w:hAnsi="Arial" w:cs="Arial"/>
                <w:color w:val="FF0000"/>
              </w:rPr>
              <w:t>Alt.1: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2F9FDBB8" w14:textId="77777777" w:rsidR="0057263C" w:rsidRPr="00AE3C53" w:rsidRDefault="0057263C" w:rsidP="0038033D">
            <w:pPr>
              <w:numPr>
                <w:ilvl w:val="3"/>
                <w:numId w:val="13"/>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22BCF924" w14:textId="31651594" w:rsidR="0057263C" w:rsidRPr="00AE3C53" w:rsidRDefault="0057263C" w:rsidP="0038033D">
            <w:pPr>
              <w:numPr>
                <w:ilvl w:val="3"/>
                <w:numId w:val="13"/>
              </w:numPr>
              <w:spacing w:after="120"/>
              <w:ind w:left="3960"/>
              <w:rPr>
                <w:rFonts w:ascii="Arial" w:hAnsi="Arial" w:cs="Arial"/>
                <w:color w:val="FF0000"/>
              </w:rPr>
            </w:pPr>
            <w:r w:rsidRPr="00AE3C53">
              <w:rPr>
                <w:rStyle w:val="apple-converted-space"/>
                <w:rFonts w:ascii="Arial" w:hAnsi="Arial" w:cs="Arial"/>
                <w:color w:val="FF0000"/>
              </w:rPr>
              <w:lastRenderedPageBreak/>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6AE8D07" w14:textId="77777777" w:rsidR="0057263C" w:rsidRPr="00AE3C53" w:rsidRDefault="0057263C" w:rsidP="0038033D">
            <w:pPr>
              <w:numPr>
                <w:ilvl w:val="3"/>
                <w:numId w:val="13"/>
              </w:numPr>
              <w:spacing w:after="120"/>
              <w:ind w:left="3960"/>
              <w:jc w:val="both"/>
              <w:rPr>
                <w:rFonts w:ascii="Arial" w:hAnsi="Arial" w:cs="Arial"/>
                <w:color w:val="FF0000"/>
              </w:rPr>
            </w:pPr>
            <w:r w:rsidRPr="00AE3C53">
              <w:rPr>
                <w:rFonts w:ascii="Arial" w:hAnsi="Arial" w:cs="Arial"/>
                <w:color w:val="FF0000"/>
              </w:rPr>
              <w:t>This is the “DPS without look-ahead”.</w:t>
            </w:r>
          </w:p>
          <w:p w14:paraId="3165332A" w14:textId="77777777" w:rsidR="0057263C" w:rsidRPr="00AE3C53" w:rsidRDefault="0057263C" w:rsidP="0038033D">
            <w:pPr>
              <w:numPr>
                <w:ilvl w:val="2"/>
                <w:numId w:val="13"/>
              </w:numPr>
              <w:spacing w:after="120"/>
              <w:ind w:left="2880"/>
              <w:jc w:val="both"/>
              <w:rPr>
                <w:rFonts w:ascii="Arial" w:hAnsi="Arial" w:cs="Arial"/>
                <w:color w:val="FF0000"/>
              </w:rPr>
            </w:pPr>
            <w:r w:rsidRPr="00AE3C53">
              <w:rPr>
                <w:rFonts w:ascii="Arial" w:hAnsi="Arial" w:cs="Arial"/>
                <w:color w:val="FF0000"/>
              </w:rPr>
              <w:t>Alt.2: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1268A222" w14:textId="77777777" w:rsidR="0057263C" w:rsidRPr="00AE3C53" w:rsidRDefault="0057263C" w:rsidP="0038033D">
            <w:pPr>
              <w:numPr>
                <w:ilvl w:val="3"/>
                <w:numId w:val="13"/>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5320BDF4" w14:textId="77777777" w:rsidR="0057263C" w:rsidRPr="00AE3C53" w:rsidRDefault="0057263C" w:rsidP="0038033D">
            <w:pPr>
              <w:numPr>
                <w:ilvl w:val="3"/>
                <w:numId w:val="13"/>
              </w:numPr>
              <w:spacing w:after="120"/>
              <w:ind w:left="3960"/>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2A241E0C" w14:textId="77777777" w:rsidR="0057263C" w:rsidRPr="00AE3C53" w:rsidRDefault="0057263C" w:rsidP="0038033D">
            <w:pPr>
              <w:numPr>
                <w:ilvl w:val="3"/>
                <w:numId w:val="13"/>
              </w:numPr>
              <w:spacing w:after="120"/>
              <w:ind w:left="3960"/>
              <w:jc w:val="both"/>
              <w:rPr>
                <w:rFonts w:ascii="Arial" w:hAnsi="Arial" w:cs="Arial"/>
                <w:color w:val="FF0000"/>
              </w:rPr>
            </w:pPr>
            <w:r w:rsidRPr="00AE3C53">
              <w:rPr>
                <w:rFonts w:ascii="Arial" w:hAnsi="Arial" w:cs="Arial"/>
                <w:color w:val="FF0000"/>
              </w:rPr>
              <w:t>This is the “DPS with look-ahead”.</w:t>
            </w:r>
          </w:p>
          <w:p w14:paraId="46A1751F" w14:textId="77777777" w:rsidR="0057263C" w:rsidRPr="00AE3C53" w:rsidRDefault="0057263C" w:rsidP="0038033D">
            <w:pPr>
              <w:numPr>
                <w:ilvl w:val="2"/>
                <w:numId w:val="13"/>
              </w:numPr>
              <w:spacing w:after="120"/>
              <w:ind w:left="2880"/>
              <w:jc w:val="both"/>
              <w:rPr>
                <w:rFonts w:ascii="Arial" w:hAnsi="Arial" w:cs="Arial"/>
                <w:color w:val="FF0000"/>
              </w:rPr>
            </w:pPr>
            <w:r w:rsidRPr="00AE3C53">
              <w:rPr>
                <w:rFonts w:ascii="Arial" w:hAnsi="Arial" w:cs="Arial"/>
                <w:strike/>
                <w:color w:val="FF0000"/>
              </w:rPr>
              <w:t>Alt.3: T_offset reasonbly larger than Alt 1. &amp; Alt 2 but &lt;=4ms</w:t>
            </w:r>
          </w:p>
          <w:p w14:paraId="3B16FA08" w14:textId="77777777" w:rsidR="0057263C" w:rsidRPr="00AE3C53" w:rsidRDefault="0057263C" w:rsidP="0038033D">
            <w:pPr>
              <w:numPr>
                <w:ilvl w:val="2"/>
                <w:numId w:val="13"/>
              </w:numPr>
              <w:spacing w:after="120"/>
              <w:ind w:left="2880"/>
              <w:jc w:val="both"/>
              <w:rPr>
                <w:rFonts w:ascii="Arial" w:hAnsi="Arial" w:cs="Arial"/>
                <w:color w:val="FF0000"/>
              </w:rPr>
            </w:pPr>
            <w:r w:rsidRPr="00AE3C53">
              <w:rPr>
                <w:rFonts w:ascii="Arial" w:hAnsi="Arial" w:cs="Arial"/>
                <w:strike/>
                <w:color w:val="FF0000"/>
              </w:rPr>
              <w:t>To be addressed in the CR stage</w:t>
            </w:r>
          </w:p>
          <w:p w14:paraId="7B82E197" w14:textId="77777777" w:rsidR="0057263C" w:rsidRPr="00AE3C53" w:rsidRDefault="0057263C" w:rsidP="0038033D">
            <w:pPr>
              <w:numPr>
                <w:ilvl w:val="1"/>
                <w:numId w:val="13"/>
              </w:numPr>
              <w:spacing w:after="120"/>
              <w:ind w:left="1800"/>
              <w:jc w:val="both"/>
              <w:rPr>
                <w:rFonts w:ascii="Arial" w:hAnsi="Arial" w:cs="Arial"/>
                <w:color w:val="FF0000"/>
              </w:rPr>
            </w:pPr>
            <w:r w:rsidRPr="00AE3C53">
              <w:rPr>
                <w:rFonts w:ascii="Arial" w:hAnsi="Arial" w:cs="Arial"/>
                <w:color w:val="FF0000"/>
              </w:rPr>
              <w:t>A UE reports the UE capability of Alt.1 and/or Alt.2.</w:t>
            </w:r>
          </w:p>
          <w:p w14:paraId="67155224" w14:textId="77777777" w:rsidR="0057263C" w:rsidRPr="00FB1803" w:rsidRDefault="0057263C" w:rsidP="0038033D">
            <w:pPr>
              <w:pStyle w:val="ListParagraph"/>
              <w:numPr>
                <w:ilvl w:val="2"/>
                <w:numId w:val="13"/>
              </w:numPr>
              <w:spacing w:after="120"/>
              <w:rPr>
                <w:rFonts w:ascii="Arial" w:hAnsi="Arial" w:cs="Arial"/>
                <w:b/>
              </w:rPr>
            </w:pPr>
            <w:r w:rsidRPr="00AE3C53">
              <w:rPr>
                <w:rFonts w:ascii="Arial" w:hAnsi="Arial" w:cs="Arial"/>
                <w:color w:val="FF0000"/>
              </w:rPr>
              <w:t>Details up to UE feature list discussion</w:t>
            </w:r>
          </w:p>
        </w:tc>
      </w:tr>
    </w:tbl>
    <w:p w14:paraId="492F5CEA" w14:textId="70C18E48" w:rsidR="00E20C4F" w:rsidRDefault="004908B3" w:rsidP="00E20C4F">
      <w:pPr>
        <w:rPr>
          <w:lang w:val="en-US"/>
        </w:rPr>
      </w:pPr>
      <w:r w:rsidRPr="008460F3">
        <w:rPr>
          <w:lang w:val="en-US"/>
        </w:rPr>
        <w:lastRenderedPageBreak/>
        <w:t>Accor</w:t>
      </w:r>
      <w:r w:rsidR="008460F3">
        <w:rPr>
          <w:lang w:val="en-US"/>
        </w:rPr>
        <w:t>d</w:t>
      </w:r>
      <w:r w:rsidRPr="008460F3">
        <w:rPr>
          <w:lang w:val="en-US"/>
        </w:rPr>
        <w:t>ing to new working assumption above, dynamic power sharing always support look-ahead operatio</w:t>
      </w:r>
      <w:r>
        <w:rPr>
          <w:lang w:val="en-US"/>
        </w:rPr>
        <w:t>n</w:t>
      </w:r>
      <w:r w:rsidRPr="008460F3">
        <w:rPr>
          <w:lang w:val="en-US"/>
        </w:rPr>
        <w:t xml:space="preserve">, and different value of </w:t>
      </w:r>
      <w:r w:rsidR="00E20C4F" w:rsidRPr="00C463F7">
        <w:rPr>
          <w:i/>
          <w:iCs/>
          <w:sz w:val="22"/>
          <w:szCs w:val="22"/>
          <w:lang w:val="en-US"/>
        </w:rPr>
        <w:t>T_offset</w:t>
      </w:r>
      <w:r w:rsidR="00E20C4F" w:rsidRPr="00C463F7">
        <w:rPr>
          <w:sz w:val="22"/>
          <w:szCs w:val="22"/>
          <w:lang w:val="en-US"/>
        </w:rPr>
        <w:t xml:space="preserve"> </w:t>
      </w:r>
      <w:r>
        <w:rPr>
          <w:lang w:val="en-US"/>
        </w:rPr>
        <w:t xml:space="preserve">will be in used. The value of </w:t>
      </w:r>
      <w:r w:rsidRPr="00C463F7">
        <w:rPr>
          <w:i/>
          <w:iCs/>
          <w:sz w:val="22"/>
          <w:szCs w:val="22"/>
          <w:lang w:val="en-US"/>
        </w:rPr>
        <w:t xml:space="preserve">T_offset </w:t>
      </w:r>
      <w:r w:rsidR="00E20C4F" w:rsidRPr="00E20C4F">
        <w:rPr>
          <w:lang w:val="en-US"/>
        </w:rPr>
        <w:t>defines the size of look-ahead window where UE search</w:t>
      </w:r>
      <w:r w:rsidR="00AF712A">
        <w:rPr>
          <w:lang w:val="en-US"/>
        </w:rPr>
        <w:t>es</w:t>
      </w:r>
      <w:r w:rsidR="00E20C4F" w:rsidRPr="00E20C4F">
        <w:rPr>
          <w:lang w:val="en-US"/>
        </w:rPr>
        <w:t xml:space="preserve"> a possible overlapped transmission</w:t>
      </w:r>
      <w:r>
        <w:rPr>
          <w:lang w:val="en-US"/>
        </w:rPr>
        <w:t xml:space="preserve">, </w:t>
      </w:r>
      <w:r w:rsidR="00727E14">
        <w:rPr>
          <w:lang w:val="en-US"/>
        </w:rPr>
        <w:t xml:space="preserve">having </w:t>
      </w:r>
      <w:r w:rsidR="004E7BDE">
        <w:rPr>
          <w:lang w:val="en-US"/>
        </w:rPr>
        <w:t>consequence</w:t>
      </w:r>
      <w:r w:rsidR="00727E14">
        <w:rPr>
          <w:lang w:val="en-US"/>
        </w:rPr>
        <w:t>s</w:t>
      </w:r>
      <w:r w:rsidR="004E7BDE">
        <w:rPr>
          <w:lang w:val="en-US"/>
        </w:rPr>
        <w:t xml:space="preserve"> as well </w:t>
      </w:r>
      <w:r w:rsidR="00727E14">
        <w:rPr>
          <w:lang w:val="en-US"/>
        </w:rPr>
        <w:t xml:space="preserve">on UL </w:t>
      </w:r>
      <w:r>
        <w:rPr>
          <w:lang w:val="en-US"/>
        </w:rPr>
        <w:t>MCG scheduling</w:t>
      </w:r>
      <w:r w:rsidR="00E20C4F" w:rsidRPr="00E20C4F">
        <w:rPr>
          <w:lang w:val="en-US"/>
        </w:rPr>
        <w:t>.</w:t>
      </w:r>
      <w:r w:rsidR="00E20C4F">
        <w:rPr>
          <w:lang w:val="en-US"/>
        </w:rPr>
        <w:t xml:space="preserve"> </w:t>
      </w:r>
      <w:r w:rsidR="00655A13">
        <w:rPr>
          <w:lang w:val="en-US"/>
        </w:rPr>
        <w:t>This is illustrated in Figure 2 below.</w:t>
      </w:r>
    </w:p>
    <w:p w14:paraId="3FF5BCEE" w14:textId="71685B57" w:rsidR="00F240A0" w:rsidRDefault="00F240A0" w:rsidP="00F240A0">
      <w:pPr>
        <w:keepNext/>
      </w:pPr>
    </w:p>
    <w:p w14:paraId="7AAD1000" w14:textId="280D282B" w:rsidR="00087C91" w:rsidRDefault="00532939" w:rsidP="009F59F2">
      <w:pPr>
        <w:keepNext/>
        <w:jc w:val="center"/>
      </w:pPr>
      <w:r>
        <w:rPr>
          <w:noProof/>
        </w:rPr>
        <w:drawing>
          <wp:inline distT="0" distB="0" distL="0" distR="0" wp14:anchorId="161BCB2F" wp14:editId="3A340905">
            <wp:extent cx="5958840" cy="19862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8840" cy="1986280"/>
                    </a:xfrm>
                    <a:prstGeom prst="rect">
                      <a:avLst/>
                    </a:prstGeom>
                    <a:noFill/>
                  </pic:spPr>
                </pic:pic>
              </a:graphicData>
            </a:graphic>
          </wp:inline>
        </w:drawing>
      </w:r>
    </w:p>
    <w:p w14:paraId="336E92BB" w14:textId="6E9F6D2B" w:rsidR="00087C91" w:rsidRDefault="00F240A0" w:rsidP="006B75F1">
      <w:pPr>
        <w:pStyle w:val="Caption"/>
        <w:jc w:val="center"/>
        <w:rPr>
          <w:lang w:val="en-US"/>
        </w:rPr>
      </w:pPr>
      <w:r>
        <w:t xml:space="preserve">Figure </w:t>
      </w:r>
      <w:r w:rsidR="0090342B">
        <w:fldChar w:fldCharType="begin"/>
      </w:r>
      <w:r w:rsidR="0090342B">
        <w:rPr>
          <w:i w:val="0"/>
          <w:iCs w:val="0"/>
        </w:rPr>
        <w:instrText xml:space="preserve"> SEQ Figure \* ARABIC </w:instrText>
      </w:r>
      <w:r w:rsidR="0090342B">
        <w:fldChar w:fldCharType="separate"/>
      </w:r>
      <w:r>
        <w:rPr>
          <w:noProof/>
        </w:rPr>
        <w:t>2</w:t>
      </w:r>
      <w:r w:rsidR="0090342B">
        <w:rPr>
          <w:noProof/>
        </w:rPr>
        <w:fldChar w:fldCharType="end"/>
      </w:r>
      <w:r>
        <w:t xml:space="preserve"> </w:t>
      </w:r>
      <w:r w:rsidR="009F59F2">
        <w:t xml:space="preserve">MCG scheduling restrictions as a function of T_offset: Impact of </w:t>
      </w:r>
      <w:r>
        <w:t>Small T_offset vs. Large T_offset</w:t>
      </w:r>
    </w:p>
    <w:p w14:paraId="177A976C" w14:textId="2D8048AD" w:rsidR="00243425" w:rsidRPr="00243425" w:rsidRDefault="00524722" w:rsidP="00243425">
      <w:pPr>
        <w:rPr>
          <w:lang w:val="en-US"/>
        </w:rPr>
      </w:pPr>
      <w:r w:rsidRPr="00524722">
        <w:rPr>
          <w:i/>
          <w:iCs/>
          <w:sz w:val="22"/>
          <w:szCs w:val="22"/>
        </w:rPr>
        <w:t>T_offset</w:t>
      </w:r>
      <w:r w:rsidRPr="00524722">
        <w:rPr>
          <w:sz w:val="22"/>
          <w:szCs w:val="22"/>
        </w:rPr>
        <w:t xml:space="preserve"> </w:t>
      </w:r>
      <w:r w:rsidRPr="0070460B">
        <w:t>defines the size of look-ahead window where UE search</w:t>
      </w:r>
      <w:r>
        <w:t>es</w:t>
      </w:r>
      <w:r w:rsidRPr="0070460B">
        <w:t xml:space="preserve"> a possible overlapped transmission</w:t>
      </w:r>
      <w:r w:rsidR="00664CCE">
        <w:t xml:space="preserve"> to adjust its SCG UL power</w:t>
      </w:r>
      <w:r>
        <w:t>.</w:t>
      </w:r>
      <w:r>
        <w:rPr>
          <w:lang w:val="en-US"/>
        </w:rPr>
        <w:t xml:space="preserve"> </w:t>
      </w:r>
      <w:r w:rsidR="00087C91">
        <w:rPr>
          <w:lang w:val="en-US"/>
        </w:rPr>
        <w:t xml:space="preserve">As shown in </w:t>
      </w:r>
      <w:r w:rsidR="004B667D">
        <w:rPr>
          <w:lang w:val="en-US"/>
        </w:rPr>
        <w:t>F</w:t>
      </w:r>
      <w:r w:rsidR="00087C91">
        <w:rPr>
          <w:lang w:val="en-US"/>
        </w:rPr>
        <w:t>igure 2,</w:t>
      </w:r>
      <w:r w:rsidR="00243425">
        <w:rPr>
          <w:lang w:val="en-US"/>
        </w:rPr>
        <w:t xml:space="preserve"> s</w:t>
      </w:r>
      <w:r w:rsidR="00243425" w:rsidRPr="00E20C4F">
        <w:rPr>
          <w:lang w:val="en-US"/>
        </w:rPr>
        <w:t xml:space="preserve">mall size of </w:t>
      </w:r>
      <w:r w:rsidR="00243425" w:rsidRPr="00E20C4F">
        <w:rPr>
          <w:i/>
          <w:iCs/>
          <w:sz w:val="22"/>
          <w:szCs w:val="22"/>
          <w:lang w:val="en-US"/>
        </w:rPr>
        <w:t>T_offset</w:t>
      </w:r>
      <w:r w:rsidR="00243425">
        <w:rPr>
          <w:lang w:val="en-US"/>
        </w:rPr>
        <w:t xml:space="preserve"> means more scheduling freedom on MCG, while large value of </w:t>
      </w:r>
      <w:r w:rsidR="00243425">
        <w:rPr>
          <w:i/>
          <w:iCs/>
          <w:lang w:val="en-US"/>
        </w:rPr>
        <w:t xml:space="preserve">T_offset </w:t>
      </w:r>
      <w:r w:rsidR="00243425">
        <w:rPr>
          <w:lang w:val="en-US"/>
        </w:rPr>
        <w:t>means scheduling restrictions on MCG</w:t>
      </w:r>
      <w:r w:rsidR="00243425" w:rsidRPr="00E20C4F">
        <w:rPr>
          <w:lang w:val="en-US"/>
        </w:rPr>
        <w:t>.</w:t>
      </w:r>
    </w:p>
    <w:p w14:paraId="0006B786" w14:textId="356035B5" w:rsidR="00243425" w:rsidRDefault="00243425" w:rsidP="00243425">
      <w:r w:rsidRPr="42079DD3">
        <w:rPr>
          <w:b/>
          <w:bCs/>
        </w:rPr>
        <w:t>Observation 1:</w:t>
      </w:r>
      <w:r>
        <w:t xml:space="preserve"> </w:t>
      </w:r>
      <w:r w:rsidR="009A4C08">
        <w:t xml:space="preserve">The </w:t>
      </w:r>
      <w:r w:rsidRPr="42079DD3">
        <w:rPr>
          <w:i/>
          <w:iCs/>
          <w:sz w:val="22"/>
          <w:szCs w:val="22"/>
          <w:lang w:val="en-US"/>
        </w:rPr>
        <w:t>T_offset</w:t>
      </w:r>
      <w:r w:rsidRPr="42079DD3">
        <w:rPr>
          <w:sz w:val="22"/>
          <w:szCs w:val="22"/>
          <w:lang w:val="en-US"/>
        </w:rPr>
        <w:t xml:space="preserve"> </w:t>
      </w:r>
      <w:r w:rsidRPr="42079DD3">
        <w:rPr>
          <w:lang w:val="en-US"/>
        </w:rPr>
        <w:t>impact on MCG scheduling</w:t>
      </w:r>
      <w:r w:rsidR="006D53A6">
        <w:rPr>
          <w:lang w:val="en-US"/>
        </w:rPr>
        <w:t xml:space="preserve"> can be prohibitively large, resulting in severe performance degradation</w:t>
      </w:r>
      <w:r w:rsidRPr="42079DD3">
        <w:rPr>
          <w:lang w:val="en-US"/>
        </w:rPr>
        <w:t>.</w:t>
      </w:r>
    </w:p>
    <w:p w14:paraId="47E15C6E" w14:textId="46F93C17" w:rsidR="00E20C4F" w:rsidRPr="00C73DAE" w:rsidRDefault="009623A8" w:rsidP="00A209D6">
      <w:pPr>
        <w:rPr>
          <w:lang w:val="en-US"/>
        </w:rPr>
      </w:pPr>
      <w:r w:rsidRPr="009623A8">
        <w:rPr>
          <w:rFonts w:hint="eastAsia"/>
          <w:lang w:val="en-US"/>
        </w:rPr>
        <w:t>RAN1 define</w:t>
      </w:r>
      <w:r>
        <w:rPr>
          <w:lang w:val="en-US"/>
        </w:rPr>
        <w:t>d</w:t>
      </w:r>
      <w:r w:rsidRPr="009623A8">
        <w:rPr>
          <w:rFonts w:hint="eastAsia"/>
          <w:lang w:val="en-US"/>
        </w:rPr>
        <w:t xml:space="preserve"> two different rules of extracting </w:t>
      </w:r>
      <w:r w:rsidRPr="009623A8">
        <w:rPr>
          <w:rFonts w:hint="eastAsia"/>
          <w:i/>
          <w:iCs/>
          <w:sz w:val="22"/>
          <w:szCs w:val="22"/>
          <w:lang w:val="en-US"/>
        </w:rPr>
        <w:t xml:space="preserve">T_offset </w:t>
      </w:r>
      <w:r w:rsidRPr="009623A8">
        <w:rPr>
          <w:rFonts w:hint="eastAsia"/>
          <w:lang w:val="en-US"/>
        </w:rPr>
        <w:t>value (</w:t>
      </w:r>
      <w:r>
        <w:rPr>
          <w:lang w:val="en-US"/>
        </w:rPr>
        <w:t>A</w:t>
      </w:r>
      <w:r w:rsidRPr="009623A8">
        <w:rPr>
          <w:rFonts w:hint="eastAsia"/>
          <w:lang w:val="en-US"/>
        </w:rPr>
        <w:t xml:space="preserve">lt 1, </w:t>
      </w:r>
      <w:r>
        <w:rPr>
          <w:lang w:val="en-US"/>
        </w:rPr>
        <w:t>A</w:t>
      </w:r>
      <w:r w:rsidRPr="009623A8">
        <w:rPr>
          <w:rFonts w:hint="eastAsia"/>
          <w:lang w:val="en-US"/>
        </w:rPr>
        <w:t xml:space="preserve">lt 2) where Alt 1 may include large value, since it can be up to </w:t>
      </w:r>
      <m:oMath>
        <m:sSubSup>
          <m:sSubSupPr>
            <m:ctrlPr>
              <w:rPr>
                <w:rFonts w:ascii="Cambria Math" w:hAnsi="Cambria Math"/>
                <w:b/>
                <w:bCs/>
                <w:i/>
                <w:iCs/>
                <w:lang w:val="en-US"/>
              </w:rPr>
            </m:ctrlPr>
          </m:sSubSupPr>
          <m:e>
            <m:r>
              <m:rPr>
                <m:sty m:val="bi"/>
              </m:rPr>
              <w:rPr>
                <w:rFonts w:ascii="Cambria Math" w:hAnsi="Cambria Math"/>
              </w:rPr>
              <m:t>T</m:t>
            </m:r>
          </m:e>
          <m:sub>
            <m:r>
              <m:rPr>
                <m:sty m:val="bi"/>
              </m:rPr>
              <w:rPr>
                <w:rFonts w:ascii="Cambria Math" w:hAnsi="Cambria Math"/>
              </w:rPr>
              <m:t>proc,CSI</m:t>
            </m:r>
          </m:sub>
          <m:sup>
            <m:r>
              <m:rPr>
                <m:sty m:val="bi"/>
              </m:rPr>
              <w:rPr>
                <w:rFonts w:ascii="Cambria Math" w:hAnsi="Cambria Math"/>
              </w:rPr>
              <m:t>mux</m:t>
            </m:r>
          </m:sup>
        </m:sSubSup>
      </m:oMath>
      <w:r w:rsidRPr="009623A8">
        <w:rPr>
          <w:rFonts w:hint="eastAsia"/>
          <w:b/>
          <w:bCs/>
          <w:lang w:val="en-US"/>
        </w:rPr>
        <w:t xml:space="preserve"> </w:t>
      </w:r>
      <w:r w:rsidRPr="009623A8">
        <w:rPr>
          <w:rFonts w:hint="eastAsia"/>
          <w:lang w:val="en-US"/>
        </w:rPr>
        <w:t xml:space="preserve">which would be the largest UE processing time.  So, </w:t>
      </w:r>
      <w:r w:rsidRPr="009623A8">
        <w:rPr>
          <w:rFonts w:hint="eastAsia"/>
          <w:i/>
          <w:iCs/>
          <w:sz w:val="22"/>
          <w:szCs w:val="22"/>
          <w:lang w:val="en-US"/>
        </w:rPr>
        <w:t>T_offset</w:t>
      </w:r>
      <w:r w:rsidRPr="009623A8">
        <w:rPr>
          <w:rFonts w:hint="eastAsia"/>
          <w:sz w:val="22"/>
          <w:szCs w:val="22"/>
          <w:lang w:val="en-US"/>
        </w:rPr>
        <w:t xml:space="preserve"> </w:t>
      </w:r>
      <w:r w:rsidRPr="009623A8">
        <w:rPr>
          <w:rFonts w:hint="eastAsia"/>
          <w:lang w:val="en-US"/>
        </w:rPr>
        <w:t xml:space="preserve">(in Alt 1) relies on </w:t>
      </w:r>
      <m:oMath>
        <m:sSub>
          <m:sSubPr>
            <m:ctrlPr>
              <w:rPr>
                <w:rFonts w:ascii="Cambria Math" w:hAnsi="Cambria Math"/>
                <w:i/>
                <w:iCs/>
                <w:lang w:val="en-US"/>
              </w:rPr>
            </m:ctrlPr>
          </m:sSubPr>
          <m:e>
            <m:r>
              <w:rPr>
                <w:rFonts w:ascii="Cambria Math" w:hAnsi="Cambria Math"/>
              </w:rPr>
              <m:t>T</m:t>
            </m:r>
          </m:e>
          <m:sub>
            <m:r>
              <w:rPr>
                <w:rFonts w:ascii="Cambria Math" w:hAnsi="Cambria Math"/>
              </w:rPr>
              <m:t>proc,2</m:t>
            </m:r>
          </m:sub>
        </m:sSub>
      </m:oMath>
      <w:r w:rsidRPr="009623A8">
        <w:rPr>
          <w:i/>
          <w:iCs/>
        </w:rPr>
        <w:t xml:space="preserve">, </w:t>
      </w:r>
      <m:oMath>
        <m:sSub>
          <m:sSubPr>
            <m:ctrlPr>
              <w:rPr>
                <w:rFonts w:ascii="Cambria Math" w:hAnsi="Cambria Math"/>
                <w:i/>
                <w:iCs/>
                <w:lang w:val="en-US"/>
              </w:rPr>
            </m:ctrlPr>
          </m:sSubPr>
          <m:e>
            <m:r>
              <w:rPr>
                <w:rFonts w:ascii="Cambria Math" w:hAnsi="Cambria Math"/>
              </w:rPr>
              <m:t>T</m:t>
            </m:r>
          </m:e>
          <m:sub>
            <m:r>
              <w:rPr>
                <w:rFonts w:ascii="Cambria Math" w:hAnsi="Cambria Math"/>
              </w:rPr>
              <m:t>proc,CSI</m:t>
            </m:r>
          </m:sub>
        </m:sSub>
      </m:oMath>
      <w:r w:rsidRPr="009623A8">
        <w:rPr>
          <w:i/>
          <w:iCs/>
        </w:rPr>
        <w:t xml:space="preserve">, </w:t>
      </w:r>
      <m:oMath>
        <m:sSubSup>
          <m:sSubSupPr>
            <m:ctrlPr>
              <w:rPr>
                <w:rFonts w:ascii="Cambria Math" w:hAnsi="Cambria Math"/>
                <w:i/>
                <w:iCs/>
                <w:lang w:val="en-US"/>
              </w:rPr>
            </m:ctrlPr>
          </m:sSubSupPr>
          <m:e>
            <m:r>
              <w:rPr>
                <w:rFonts w:ascii="Cambria Math" w:hAnsi="Cambria Math"/>
              </w:rPr>
              <m:t>T</m:t>
            </m:r>
          </m:e>
          <m:sub>
            <m:r>
              <w:rPr>
                <w:rFonts w:ascii="Cambria Math" w:hAnsi="Cambria Math"/>
              </w:rPr>
              <m:t>proc,release</m:t>
            </m:r>
          </m:sub>
          <m:sup>
            <m:r>
              <w:rPr>
                <w:rFonts w:ascii="Cambria Math" w:hAnsi="Cambria Math"/>
              </w:rPr>
              <m:t>mux</m:t>
            </m:r>
          </m:sup>
        </m:sSubSup>
      </m:oMath>
      <w:r w:rsidRPr="009623A8">
        <w:rPr>
          <w:i/>
          <w:iCs/>
        </w:rPr>
        <w:t xml:space="preserve">, </w:t>
      </w:r>
      <m:oMath>
        <m:sSubSup>
          <m:sSubSupPr>
            <m:ctrlPr>
              <w:rPr>
                <w:rFonts w:ascii="Cambria Math" w:hAnsi="Cambria Math"/>
                <w:i/>
                <w:iCs/>
                <w:lang w:val="en-US"/>
              </w:rPr>
            </m:ctrlPr>
          </m:sSubSupPr>
          <m:e>
            <m:r>
              <w:rPr>
                <w:rFonts w:ascii="Cambria Math" w:hAnsi="Cambria Math"/>
              </w:rPr>
              <m:t>T</m:t>
            </m:r>
          </m:e>
          <m:sub>
            <m:r>
              <w:rPr>
                <w:rFonts w:ascii="Cambria Math" w:hAnsi="Cambria Math"/>
              </w:rPr>
              <m:t>proc,2</m:t>
            </m:r>
          </m:sub>
          <m:sup>
            <m:r>
              <w:rPr>
                <w:rFonts w:ascii="Cambria Math" w:hAnsi="Cambria Math"/>
              </w:rPr>
              <m:t>mux</m:t>
            </m:r>
          </m:sup>
        </m:sSubSup>
      </m:oMath>
      <w:r w:rsidRPr="009623A8">
        <w:rPr>
          <w:i/>
          <w:iCs/>
        </w:rPr>
        <w:t xml:space="preserve">, </w:t>
      </w:r>
      <m:oMath>
        <m:sSubSup>
          <m:sSubSupPr>
            <m:ctrlPr>
              <w:rPr>
                <w:rFonts w:ascii="Cambria Math" w:hAnsi="Cambria Math"/>
                <w:i/>
                <w:iCs/>
                <w:lang w:val="en-US"/>
              </w:rPr>
            </m:ctrlPr>
          </m:sSubSupPr>
          <m:e>
            <m:r>
              <w:rPr>
                <w:rFonts w:ascii="Cambria Math" w:hAnsi="Cambria Math"/>
              </w:rPr>
              <m:t>T</m:t>
            </m:r>
          </m:e>
          <m:sub>
            <m:r>
              <w:rPr>
                <w:rFonts w:ascii="Cambria Math" w:hAnsi="Cambria Math"/>
              </w:rPr>
              <m:t>proc,CSI</m:t>
            </m:r>
          </m:sub>
          <m:sup>
            <m:r>
              <w:rPr>
                <w:rFonts w:ascii="Cambria Math" w:hAnsi="Cambria Math"/>
              </w:rPr>
              <m:t>mux</m:t>
            </m:r>
          </m:sup>
        </m:sSubSup>
      </m:oMath>
      <w:r w:rsidRPr="009623A8">
        <w:rPr>
          <w:i/>
          <w:iCs/>
          <w:lang w:val="en-US"/>
        </w:rPr>
        <w:t xml:space="preserve"> </w:t>
      </w:r>
      <w:r w:rsidRPr="009623A8">
        <w:rPr>
          <w:rFonts w:hint="eastAsia"/>
          <w:lang w:val="en-US"/>
        </w:rPr>
        <w:t xml:space="preserve">of MCG and SCG, and SCG may need to share all the value of these parameters to MCG. </w:t>
      </w:r>
      <w:r w:rsidR="0048505E">
        <w:rPr>
          <w:lang w:val="en-US"/>
        </w:rPr>
        <w:t xml:space="preserve">Therefore, </w:t>
      </w:r>
      <w:r w:rsidRPr="009623A8">
        <w:rPr>
          <w:i/>
          <w:iCs/>
          <w:sz w:val="22"/>
          <w:szCs w:val="22"/>
          <w:lang w:val="en-US"/>
        </w:rPr>
        <w:t>T_offset</w:t>
      </w:r>
      <w:r w:rsidRPr="009623A8">
        <w:rPr>
          <w:sz w:val="22"/>
          <w:szCs w:val="22"/>
          <w:lang w:val="en-US"/>
        </w:rPr>
        <w:t xml:space="preserve"> </w:t>
      </w:r>
      <w:r w:rsidRPr="009623A8">
        <w:rPr>
          <w:lang w:val="en-US"/>
        </w:rPr>
        <w:t>has</w:t>
      </w:r>
      <w:r w:rsidR="00C557C9">
        <w:rPr>
          <w:lang w:val="en-US"/>
        </w:rPr>
        <w:t xml:space="preserve"> important</w:t>
      </w:r>
      <w:r w:rsidRPr="009623A8">
        <w:rPr>
          <w:lang w:val="en-US"/>
        </w:rPr>
        <w:t xml:space="preserve"> impact on </w:t>
      </w:r>
      <w:r w:rsidRPr="009623A8">
        <w:rPr>
          <w:rFonts w:hint="eastAsia"/>
          <w:lang w:val="en-US"/>
        </w:rPr>
        <w:t xml:space="preserve">MCG scheduling. </w:t>
      </w:r>
    </w:p>
    <w:p w14:paraId="329B380D" w14:textId="3C2C812E" w:rsidR="00534DEF" w:rsidRDefault="00534DEF" w:rsidP="42079DD3">
      <w:pPr>
        <w:rPr>
          <w:lang w:val="en-US"/>
        </w:rPr>
      </w:pPr>
      <w:r w:rsidRPr="42079DD3">
        <w:rPr>
          <w:b/>
          <w:bCs/>
        </w:rPr>
        <w:lastRenderedPageBreak/>
        <w:t xml:space="preserve">Observation </w:t>
      </w:r>
      <w:r w:rsidR="007B6DC4">
        <w:rPr>
          <w:b/>
          <w:bCs/>
        </w:rPr>
        <w:t>2</w:t>
      </w:r>
      <w:r w:rsidRPr="42079DD3">
        <w:rPr>
          <w:b/>
          <w:bCs/>
        </w:rPr>
        <w:t xml:space="preserve">: </w:t>
      </w:r>
      <w:r w:rsidRPr="42079DD3">
        <w:rPr>
          <w:lang w:val="en-US"/>
        </w:rPr>
        <w:t xml:space="preserve"> </w:t>
      </w:r>
      <m:oMath>
        <m:sSubSup>
          <m:sSubSupPr>
            <m:ctrlPr>
              <w:rPr>
                <w:rFonts w:ascii="Cambria Math" w:hAnsi="Cambria Math"/>
                <w:b/>
                <w:bCs/>
                <w:i/>
                <w:iCs/>
                <w:lang w:val="en-US"/>
              </w:rPr>
            </m:ctrlPr>
          </m:sSubSupPr>
          <m:e>
            <m:r>
              <m:rPr>
                <m:sty m:val="bi"/>
              </m:rPr>
              <w:rPr>
                <w:rFonts w:ascii="Cambria Math" w:hAnsi="Cambria Math"/>
              </w:rPr>
              <m:t>T</m:t>
            </m:r>
          </m:e>
          <m:sub>
            <m:r>
              <m:rPr>
                <m:sty m:val="bi"/>
              </m:rPr>
              <w:rPr>
                <w:rFonts w:ascii="Cambria Math" w:hAnsi="Cambria Math"/>
              </w:rPr>
              <m:t>proc,CSI</m:t>
            </m:r>
          </m:sub>
          <m:sup>
            <m:r>
              <m:rPr>
                <m:sty m:val="bi"/>
              </m:rPr>
              <w:rPr>
                <w:rFonts w:ascii="Cambria Math" w:hAnsi="Cambria Math"/>
              </w:rPr>
              <m:t>mux</m:t>
            </m:r>
          </m:sup>
        </m:sSubSup>
      </m:oMath>
      <w:r w:rsidRPr="42079DD3">
        <w:rPr>
          <w:b/>
          <w:bCs/>
          <w:lang w:val="en-US"/>
        </w:rPr>
        <w:t xml:space="preserve"> </w:t>
      </w:r>
      <w:r w:rsidR="77511C4D" w:rsidRPr="42079DD3">
        <w:rPr>
          <w:lang w:val="en-US"/>
        </w:rPr>
        <w:t>is</w:t>
      </w:r>
      <w:r w:rsidRPr="42079DD3">
        <w:rPr>
          <w:lang w:val="en-US"/>
        </w:rPr>
        <w:t xml:space="preserve"> the largest UE processing time</w:t>
      </w:r>
      <w:r w:rsidR="00D46408">
        <w:rPr>
          <w:lang w:val="en-US"/>
        </w:rPr>
        <w:t xml:space="preserve"> with large variation on the value</w:t>
      </w:r>
      <w:r>
        <w:rPr>
          <w:lang w:val="en-US"/>
        </w:rPr>
        <w:t>.</w:t>
      </w:r>
      <w:r w:rsidR="000A25DC">
        <w:rPr>
          <w:lang w:val="en-US"/>
        </w:rPr>
        <w:t xml:space="preserve"> </w:t>
      </w:r>
    </w:p>
    <w:p w14:paraId="41E0CA6D" w14:textId="7D29646C" w:rsidR="003468C9" w:rsidRDefault="00900626" w:rsidP="003468C9">
      <w:pPr>
        <w:rPr>
          <w:lang w:val="en-US"/>
        </w:rPr>
      </w:pPr>
      <w:r>
        <w:rPr>
          <w:lang w:val="en-US"/>
        </w:rPr>
        <w:t>B</w:t>
      </w:r>
      <w:r w:rsidR="00646E56">
        <w:rPr>
          <w:lang w:val="en-US"/>
        </w:rPr>
        <w:t>ased</w:t>
      </w:r>
      <w:r w:rsidR="000B59D2">
        <w:rPr>
          <w:lang w:val="en-US"/>
        </w:rPr>
        <w:t xml:space="preserve"> </w:t>
      </w:r>
      <w:r w:rsidR="00646E56">
        <w:rPr>
          <w:lang w:val="en-US"/>
        </w:rPr>
        <w:t xml:space="preserve">on the analysis above, </w:t>
      </w:r>
      <w:r w:rsidR="00481ABD">
        <w:rPr>
          <w:lang w:val="en-US"/>
        </w:rPr>
        <w:t xml:space="preserve">Alt1 </w:t>
      </w:r>
      <w:r w:rsidR="000B59D2">
        <w:rPr>
          <w:lang w:val="en-US"/>
        </w:rPr>
        <w:t>enables</w:t>
      </w:r>
      <w:r w:rsidR="000B59D2" w:rsidRPr="003468C9">
        <w:rPr>
          <w:rFonts w:hint="eastAsia"/>
          <w:lang w:val="en-US"/>
        </w:rPr>
        <w:t xml:space="preserve"> </w:t>
      </w:r>
      <w:r w:rsidR="000B59D2">
        <w:rPr>
          <w:lang w:val="en-US"/>
        </w:rPr>
        <w:t xml:space="preserve">a </w:t>
      </w:r>
      <w:r w:rsidR="003468C9" w:rsidRPr="003468C9">
        <w:rPr>
          <w:rFonts w:hint="eastAsia"/>
          <w:lang w:val="en-US"/>
        </w:rPr>
        <w:t xml:space="preserve">large </w:t>
      </w:r>
      <w:r w:rsidR="003468C9" w:rsidRPr="00481ABD">
        <w:rPr>
          <w:rFonts w:hint="eastAsia"/>
          <w:i/>
          <w:iCs/>
          <w:sz w:val="22"/>
          <w:szCs w:val="22"/>
          <w:lang w:val="en-US"/>
        </w:rPr>
        <w:t>T_offse</w:t>
      </w:r>
      <w:r w:rsidR="007A3C07">
        <w:rPr>
          <w:i/>
          <w:iCs/>
          <w:sz w:val="22"/>
          <w:szCs w:val="22"/>
          <w:lang w:val="en-US"/>
        </w:rPr>
        <w:t xml:space="preserve">t </w:t>
      </w:r>
      <w:r w:rsidRPr="00900626">
        <w:rPr>
          <w:sz w:val="22"/>
          <w:szCs w:val="22"/>
          <w:lang w:val="en-US"/>
        </w:rPr>
        <w:t xml:space="preserve">which </w:t>
      </w:r>
      <w:r w:rsidR="003468C9" w:rsidRPr="003468C9">
        <w:rPr>
          <w:rFonts w:hint="eastAsia"/>
          <w:lang w:val="en-US"/>
        </w:rPr>
        <w:t>cause</w:t>
      </w:r>
      <w:r w:rsidR="007C386B">
        <w:rPr>
          <w:lang w:val="en-US"/>
        </w:rPr>
        <w:t>s</w:t>
      </w:r>
      <w:r w:rsidR="003468C9" w:rsidRPr="003468C9">
        <w:rPr>
          <w:rFonts w:hint="eastAsia"/>
          <w:lang w:val="en-US"/>
        </w:rPr>
        <w:t xml:space="preserve"> scheduling restriction on MCG</w:t>
      </w:r>
      <w:r>
        <w:rPr>
          <w:lang w:val="en-US"/>
        </w:rPr>
        <w:t xml:space="preserve">. </w:t>
      </w:r>
      <w:r w:rsidR="00B970D8">
        <w:rPr>
          <w:lang w:val="en-US"/>
        </w:rPr>
        <w:t xml:space="preserve">With such large </w:t>
      </w:r>
      <w:r w:rsidR="00B970D8" w:rsidRPr="000849A2">
        <w:rPr>
          <w:i/>
          <w:iCs/>
          <w:lang w:val="en-US"/>
        </w:rPr>
        <w:t>T_offset</w:t>
      </w:r>
      <w:r w:rsidR="00B970D8">
        <w:rPr>
          <w:lang w:val="en-US"/>
        </w:rPr>
        <w:t xml:space="preserve">, SCG cause limited utilization at MCG, which means SCG has higher priority than MCG. We </w:t>
      </w:r>
      <w:r w:rsidR="003468C9" w:rsidRPr="003468C9">
        <w:rPr>
          <w:rFonts w:hint="eastAsia"/>
          <w:lang w:val="en-US"/>
        </w:rPr>
        <w:t>do not</w:t>
      </w:r>
      <w:r w:rsidR="007A3C07">
        <w:rPr>
          <w:lang w:val="en-US"/>
        </w:rPr>
        <w:t xml:space="preserve"> think this would be </w:t>
      </w:r>
      <w:r w:rsidR="00B970D8">
        <w:rPr>
          <w:lang w:val="en-US"/>
        </w:rPr>
        <w:t xml:space="preserve">neither </w:t>
      </w:r>
      <w:r w:rsidR="007A3C07">
        <w:rPr>
          <w:lang w:val="en-US"/>
        </w:rPr>
        <w:t xml:space="preserve">good </w:t>
      </w:r>
      <w:r w:rsidR="00B970D8">
        <w:rPr>
          <w:lang w:val="en-US"/>
        </w:rPr>
        <w:t xml:space="preserve">nor aligned approach with the motivation of DC, </w:t>
      </w:r>
      <w:r w:rsidR="007A3C07">
        <w:rPr>
          <w:lang w:val="en-US"/>
        </w:rPr>
        <w:t>from NW deployment point of view.</w:t>
      </w:r>
      <w:r w:rsidR="00CB1C77">
        <w:rPr>
          <w:lang w:val="en-US"/>
        </w:rPr>
        <w:t xml:space="preserve"> </w:t>
      </w:r>
    </w:p>
    <w:p w14:paraId="5BD37813" w14:textId="3651BD2F" w:rsidR="000B136E" w:rsidRPr="000B136E" w:rsidRDefault="000B136E" w:rsidP="003468C9">
      <w:pPr>
        <w:rPr>
          <w:b/>
          <w:bCs/>
        </w:rPr>
      </w:pPr>
      <w:r>
        <w:rPr>
          <w:b/>
          <w:bCs/>
          <w:lang w:val="en-US"/>
        </w:rPr>
        <w:t xml:space="preserve">Observation </w:t>
      </w:r>
      <w:r w:rsidR="007B6DC4">
        <w:rPr>
          <w:b/>
          <w:bCs/>
          <w:lang w:val="en-US"/>
        </w:rPr>
        <w:t>3</w:t>
      </w:r>
      <w:r>
        <w:rPr>
          <w:b/>
          <w:bCs/>
          <w:lang w:val="en-US"/>
        </w:rPr>
        <w:t xml:space="preserve">: </w:t>
      </w:r>
      <w:r w:rsidRPr="000B136E">
        <w:rPr>
          <w:lang w:val="en-US"/>
        </w:rPr>
        <w:t>Ultimately, Alt1</w:t>
      </w:r>
      <w:r>
        <w:rPr>
          <w:lang w:val="en-US"/>
        </w:rPr>
        <w:t xml:space="preserve"> (i.e. large </w:t>
      </w:r>
      <w:r w:rsidRPr="004E7113">
        <w:rPr>
          <w:i/>
          <w:iCs/>
          <w:sz w:val="22"/>
          <w:szCs w:val="22"/>
          <w:lang w:val="en-US"/>
        </w:rPr>
        <w:t>T_offset</w:t>
      </w:r>
      <w:r>
        <w:rPr>
          <w:i/>
          <w:iCs/>
          <w:lang w:val="en-US"/>
        </w:rPr>
        <w:t>)</w:t>
      </w:r>
      <w:r w:rsidRPr="000B136E">
        <w:rPr>
          <w:lang w:val="en-US"/>
        </w:rPr>
        <w:t xml:space="preserve"> </w:t>
      </w:r>
      <w:r w:rsidR="00B970D8">
        <w:rPr>
          <w:lang w:val="en-US"/>
        </w:rPr>
        <w:t xml:space="preserve">will put higher priority on SCG scheduling than MCG scheduling which </w:t>
      </w:r>
      <w:r w:rsidRPr="000B136E">
        <w:rPr>
          <w:lang w:val="en-US"/>
        </w:rPr>
        <w:t xml:space="preserve">enables that MCG </w:t>
      </w:r>
      <w:r w:rsidR="004E7113">
        <w:rPr>
          <w:lang w:val="en-US"/>
        </w:rPr>
        <w:t>may end up not</w:t>
      </w:r>
      <w:r w:rsidRPr="000B136E">
        <w:rPr>
          <w:lang w:val="en-US"/>
        </w:rPr>
        <w:t xml:space="preserve"> schedul</w:t>
      </w:r>
      <w:r w:rsidR="004E7113">
        <w:rPr>
          <w:lang w:val="en-US"/>
        </w:rPr>
        <w:t>ing</w:t>
      </w:r>
      <w:r w:rsidRPr="000B136E">
        <w:rPr>
          <w:lang w:val="en-US"/>
        </w:rPr>
        <w:t xml:space="preserve"> anything, which is rather undesirable behavior.</w:t>
      </w:r>
    </w:p>
    <w:p w14:paraId="2D318619" w14:textId="044835FB" w:rsidR="00A209D6" w:rsidRDefault="003433C7" w:rsidP="00557CCA">
      <w:r>
        <w:rPr>
          <w:b/>
          <w:bCs/>
        </w:rPr>
        <w:t>Observation</w:t>
      </w:r>
      <w:r w:rsidR="00A209D6" w:rsidRPr="005075FC">
        <w:rPr>
          <w:b/>
          <w:bCs/>
        </w:rPr>
        <w:t xml:space="preserve"> </w:t>
      </w:r>
      <w:r w:rsidR="007B6DC4">
        <w:rPr>
          <w:b/>
          <w:bCs/>
        </w:rPr>
        <w:t>4</w:t>
      </w:r>
      <w:r w:rsidR="00A209D6" w:rsidRPr="005075FC">
        <w:rPr>
          <w:b/>
          <w:bCs/>
        </w:rPr>
        <w:t xml:space="preserve">: </w:t>
      </w:r>
      <w:r w:rsidRPr="003433C7">
        <w:t>Working assumption has any negative impacts for NR-DC operation from RAN2’s point of vi</w:t>
      </w:r>
      <w:r w:rsidR="00557CCA">
        <w:t>ew.</w:t>
      </w:r>
    </w:p>
    <w:p w14:paraId="614B8C1D" w14:textId="088E20A7" w:rsidR="007E4C02" w:rsidRDefault="007E4C02" w:rsidP="00557CCA">
      <w:r>
        <w:t xml:space="preserve">Generally, the decisions on how to perform scheduling are normally left </w:t>
      </w:r>
      <w:r w:rsidR="009B5CE8">
        <w:t xml:space="preserve">to each node: In this case, the SCG decisions can have impact on the MCG decisions if MCG has chosen to utilize the look-ahead scheduling. </w:t>
      </w:r>
      <w:r w:rsidR="00E17164">
        <w:t>This is against the intention of the look-ahead scheduling</w:t>
      </w:r>
      <w:r w:rsidR="00360C9C">
        <w:t xml:space="preserve"> to not impact </w:t>
      </w:r>
      <w:proofErr w:type="gramStart"/>
      <w:r w:rsidR="00360C9C">
        <w:t>MCG, and</w:t>
      </w:r>
      <w:proofErr w:type="gramEnd"/>
      <w:r w:rsidR="00360C9C">
        <w:t xml:space="preserve"> should be a reason to avoid having a larget </w:t>
      </w:r>
      <w:r w:rsidR="00360C9C" w:rsidRPr="000849A2">
        <w:rPr>
          <w:i/>
          <w:iCs/>
        </w:rPr>
        <w:t>T_Offset</w:t>
      </w:r>
      <w:r w:rsidR="00360C9C">
        <w:t xml:space="preserve"> value.</w:t>
      </w:r>
    </w:p>
    <w:p w14:paraId="50B5FAF7" w14:textId="32D900D1" w:rsidR="005A614C" w:rsidRDefault="00557CCA" w:rsidP="00557CCA">
      <w:r>
        <w:rPr>
          <w:b/>
          <w:bCs/>
        </w:rPr>
        <w:t>Proposal</w:t>
      </w:r>
      <w:r w:rsidR="005A614C">
        <w:rPr>
          <w:b/>
          <w:bCs/>
        </w:rPr>
        <w:t xml:space="preserve"> 1</w:t>
      </w:r>
      <w:r>
        <w:rPr>
          <w:b/>
          <w:bCs/>
        </w:rPr>
        <w:t xml:space="preserve">: </w:t>
      </w:r>
      <w:r w:rsidR="00412989">
        <w:t xml:space="preserve">Indicate to RAN1 that an </w:t>
      </w:r>
      <w:r w:rsidR="00B970D8">
        <w:t>unnecessarily</w:t>
      </w:r>
      <w:r w:rsidR="00B970D8" w:rsidRPr="00873EEE">
        <w:t xml:space="preserve"> </w:t>
      </w:r>
      <w:r w:rsidR="006F005D" w:rsidRPr="00873EEE">
        <w:t xml:space="preserve">large </w:t>
      </w:r>
      <w:r w:rsidR="006F005D" w:rsidRPr="00873EEE">
        <w:rPr>
          <w:i/>
          <w:iCs/>
        </w:rPr>
        <w:t>T_Offset</w:t>
      </w:r>
      <w:r w:rsidR="00EA112C">
        <w:t xml:space="preserve"> as per RAN1 </w:t>
      </w:r>
      <w:r w:rsidR="00157F58" w:rsidRPr="00F505FE">
        <w:t>working assumption has negative impacts for NR-DC operation.</w:t>
      </w:r>
      <w:r w:rsidR="00801F21">
        <w:t xml:space="preserve"> </w:t>
      </w:r>
    </w:p>
    <w:p w14:paraId="6E7AE760" w14:textId="28ED7BE7" w:rsidR="00EA112C" w:rsidRDefault="005A614C" w:rsidP="00557CCA">
      <w:r>
        <w:rPr>
          <w:b/>
          <w:bCs/>
        </w:rPr>
        <w:t xml:space="preserve">Proposal 2: </w:t>
      </w:r>
      <w:r w:rsidR="00360C9C">
        <w:t xml:space="preserve">Indicate to RAN1 that in </w:t>
      </w:r>
      <w:r w:rsidR="0047707F">
        <w:t xml:space="preserve">RAN2 </w:t>
      </w:r>
      <w:r w:rsidR="00360C9C">
        <w:t xml:space="preserve">viewpoint, </w:t>
      </w:r>
      <w:r w:rsidR="00E6133A">
        <w:t>Alt2 (</w:t>
      </w:r>
      <w:r w:rsidR="00697174">
        <w:t xml:space="preserve">i.e. </w:t>
      </w:r>
      <w:r w:rsidR="00E6133A">
        <w:t xml:space="preserve">smaller T_offset option) </w:t>
      </w:r>
      <w:r w:rsidR="00691F6B">
        <w:t xml:space="preserve">should be adopted </w:t>
      </w:r>
      <w:r w:rsidR="0047707F">
        <w:t>due to</w:t>
      </w:r>
      <w:r w:rsidR="00801F21">
        <w:t xml:space="preserve"> </w:t>
      </w:r>
      <w:r w:rsidR="00691F6B">
        <w:t xml:space="preserve">allowing </w:t>
      </w:r>
      <w:r w:rsidR="00801F21">
        <w:t xml:space="preserve">more flexibility </w:t>
      </w:r>
      <w:r w:rsidR="0047707F">
        <w:t xml:space="preserve">for </w:t>
      </w:r>
      <w:r w:rsidR="00801F21">
        <w:t>MCG scheduling.</w:t>
      </w:r>
    </w:p>
    <w:p w14:paraId="7DEBF4C2" w14:textId="0EA735B2" w:rsidR="003C0056" w:rsidRPr="00BA466A" w:rsidRDefault="003C0056" w:rsidP="00557CCA">
      <w:pPr>
        <w:rPr>
          <w:i/>
          <w:iCs/>
        </w:rPr>
      </w:pPr>
      <w:r w:rsidRPr="001D3B97">
        <w:rPr>
          <w:b/>
          <w:bCs/>
        </w:rPr>
        <w:t>Proposal 3</w:t>
      </w:r>
      <w:r w:rsidRPr="00BA466A">
        <w:t xml:space="preserve">: </w:t>
      </w:r>
      <w:r w:rsidR="00F71262">
        <w:t>Agree to RAN1 reply LS according to R2-200</w:t>
      </w:r>
      <w:r w:rsidR="006270B8">
        <w:t>2980</w:t>
      </w:r>
      <w:r w:rsidR="00F71262" w:rsidRPr="00BA466A">
        <w:t xml:space="preserve"> </w:t>
      </w:r>
      <w:r w:rsidR="00F71262">
        <w:t xml:space="preserve">(i.e. </w:t>
      </w:r>
      <w:r w:rsidR="00B970D8">
        <w:t xml:space="preserve">reply LS to RAN1 informing RAN2 has </w:t>
      </w:r>
      <w:r w:rsidR="00F71262">
        <w:t>strong concerns</w:t>
      </w:r>
      <w:r w:rsidR="00B970D8">
        <w:t xml:space="preserve"> on Alt.1 </w:t>
      </w:r>
      <w:r w:rsidR="00F71262">
        <w:t>since it will impact system performance</w:t>
      </w:r>
      <w:r w:rsidR="00B970D8">
        <w:t xml:space="preserve">. </w:t>
      </w:r>
    </w:p>
    <w:p w14:paraId="5FF2457F" w14:textId="11A84A2C" w:rsidR="00A209D6" w:rsidRPr="006E13D1" w:rsidRDefault="00A209D6" w:rsidP="00A209D6">
      <w:pPr>
        <w:pStyle w:val="Heading1"/>
      </w:pPr>
      <w:r w:rsidRPr="006E13D1">
        <w:t>4</w:t>
      </w:r>
      <w:r w:rsidRPr="006E13D1">
        <w:tab/>
      </w:r>
      <w:r w:rsidR="008C3057">
        <w:t>Conclusion</w:t>
      </w:r>
    </w:p>
    <w:p w14:paraId="59E1BFCF" w14:textId="77777777" w:rsidR="00534DEF" w:rsidRPr="00B07518" w:rsidRDefault="00534DEF" w:rsidP="00534DEF">
      <w:pPr>
        <w:rPr>
          <w:lang w:val="en-US"/>
        </w:rPr>
      </w:pPr>
      <w:r>
        <w:rPr>
          <w:lang w:val="en-US"/>
        </w:rPr>
        <w:t xml:space="preserve">In this document we discuss </w:t>
      </w:r>
      <w:r w:rsidRPr="000A1DE3">
        <w:rPr>
          <w:lang w:val="en-US"/>
        </w:rPr>
        <w:t>whether the working assumption has any negative impacts for NR-DC operation</w:t>
      </w:r>
      <w:r>
        <w:rPr>
          <w:lang w:val="en-US"/>
        </w:rPr>
        <w:t>.</w:t>
      </w:r>
    </w:p>
    <w:p w14:paraId="329A6B01" w14:textId="77777777" w:rsidR="007C07D6" w:rsidRDefault="007C07D6" w:rsidP="007C07D6">
      <w:r w:rsidRPr="42079DD3">
        <w:rPr>
          <w:b/>
          <w:bCs/>
        </w:rPr>
        <w:t>Observation 1:</w:t>
      </w:r>
      <w:r>
        <w:t xml:space="preserve"> The </w:t>
      </w:r>
      <w:r w:rsidRPr="42079DD3">
        <w:rPr>
          <w:i/>
          <w:iCs/>
          <w:sz w:val="22"/>
          <w:szCs w:val="22"/>
          <w:lang w:val="en-US"/>
        </w:rPr>
        <w:t>T_offset</w:t>
      </w:r>
      <w:r w:rsidRPr="42079DD3">
        <w:rPr>
          <w:sz w:val="22"/>
          <w:szCs w:val="22"/>
          <w:lang w:val="en-US"/>
        </w:rPr>
        <w:t xml:space="preserve"> </w:t>
      </w:r>
      <w:r w:rsidRPr="42079DD3">
        <w:rPr>
          <w:lang w:val="en-US"/>
        </w:rPr>
        <w:t>impact on MCG scheduling</w:t>
      </w:r>
      <w:r>
        <w:rPr>
          <w:lang w:val="en-US"/>
        </w:rPr>
        <w:t xml:space="preserve"> can be prohibitively large, resulting in severe performance degradation</w:t>
      </w:r>
      <w:r w:rsidRPr="42079DD3">
        <w:rPr>
          <w:lang w:val="en-US"/>
        </w:rPr>
        <w:t>.</w:t>
      </w:r>
    </w:p>
    <w:p w14:paraId="605BE662" w14:textId="13CD4306" w:rsidR="004270C6" w:rsidRDefault="004270C6" w:rsidP="004270C6">
      <w:pPr>
        <w:rPr>
          <w:lang w:val="en-US"/>
        </w:rPr>
      </w:pPr>
      <w:r w:rsidRPr="42079DD3">
        <w:rPr>
          <w:b/>
          <w:bCs/>
        </w:rPr>
        <w:t xml:space="preserve">Observation </w:t>
      </w:r>
      <w:r w:rsidR="007B6DC4">
        <w:rPr>
          <w:b/>
          <w:bCs/>
        </w:rPr>
        <w:t>2</w:t>
      </w:r>
      <w:r w:rsidRPr="42079DD3">
        <w:rPr>
          <w:b/>
          <w:bCs/>
        </w:rPr>
        <w:t xml:space="preserve">: </w:t>
      </w:r>
      <w:r w:rsidRPr="42079DD3">
        <w:rPr>
          <w:lang w:val="en-US"/>
        </w:rPr>
        <w:t xml:space="preserve"> </w:t>
      </w:r>
      <m:oMath>
        <m:sSubSup>
          <m:sSubSupPr>
            <m:ctrlPr>
              <w:rPr>
                <w:rFonts w:ascii="Cambria Math" w:hAnsi="Cambria Math"/>
                <w:b/>
                <w:bCs/>
                <w:i/>
                <w:iCs/>
                <w:lang w:val="en-US"/>
              </w:rPr>
            </m:ctrlPr>
          </m:sSubSupPr>
          <m:e>
            <m:r>
              <m:rPr>
                <m:sty m:val="bi"/>
              </m:rPr>
              <w:rPr>
                <w:rFonts w:ascii="Cambria Math" w:hAnsi="Cambria Math"/>
              </w:rPr>
              <m:t>T</m:t>
            </m:r>
          </m:e>
          <m:sub>
            <m:r>
              <m:rPr>
                <m:sty m:val="bi"/>
              </m:rPr>
              <w:rPr>
                <w:rFonts w:ascii="Cambria Math" w:hAnsi="Cambria Math"/>
              </w:rPr>
              <m:t>proc,CSI</m:t>
            </m:r>
          </m:sub>
          <m:sup>
            <m:r>
              <m:rPr>
                <m:sty m:val="bi"/>
              </m:rPr>
              <w:rPr>
                <w:rFonts w:ascii="Cambria Math" w:hAnsi="Cambria Math"/>
              </w:rPr>
              <m:t>mux</m:t>
            </m:r>
          </m:sup>
        </m:sSubSup>
      </m:oMath>
      <w:r w:rsidRPr="42079DD3">
        <w:rPr>
          <w:b/>
          <w:bCs/>
          <w:lang w:val="en-US"/>
        </w:rPr>
        <w:t xml:space="preserve"> </w:t>
      </w:r>
      <w:r w:rsidRPr="42079DD3">
        <w:rPr>
          <w:lang w:val="en-US"/>
        </w:rPr>
        <w:t>is the largest UE processing time</w:t>
      </w:r>
      <w:r>
        <w:rPr>
          <w:lang w:val="en-US"/>
        </w:rPr>
        <w:t xml:space="preserve"> with large variation on the value. </w:t>
      </w:r>
    </w:p>
    <w:p w14:paraId="04DF2180" w14:textId="6C7426E4" w:rsidR="004270C6" w:rsidRPr="000B136E" w:rsidRDefault="004270C6" w:rsidP="004270C6">
      <w:pPr>
        <w:rPr>
          <w:b/>
          <w:bCs/>
        </w:rPr>
      </w:pPr>
      <w:r>
        <w:rPr>
          <w:b/>
          <w:bCs/>
          <w:lang w:val="en-US"/>
        </w:rPr>
        <w:t xml:space="preserve">Observation </w:t>
      </w:r>
      <w:r w:rsidR="007B6DC4">
        <w:rPr>
          <w:b/>
          <w:bCs/>
          <w:lang w:val="en-US"/>
        </w:rPr>
        <w:t>3</w:t>
      </w:r>
      <w:r>
        <w:rPr>
          <w:b/>
          <w:bCs/>
          <w:lang w:val="en-US"/>
        </w:rPr>
        <w:t xml:space="preserve">: </w:t>
      </w:r>
      <w:r w:rsidRPr="000B136E">
        <w:rPr>
          <w:lang w:val="en-US"/>
        </w:rPr>
        <w:t>Ultimately, Alt1</w:t>
      </w:r>
      <w:r>
        <w:rPr>
          <w:lang w:val="en-US"/>
        </w:rPr>
        <w:t xml:space="preserve"> (i.e. large </w:t>
      </w:r>
      <w:r w:rsidRPr="004E7113">
        <w:rPr>
          <w:i/>
          <w:iCs/>
          <w:sz w:val="22"/>
          <w:szCs w:val="22"/>
          <w:lang w:val="en-US"/>
        </w:rPr>
        <w:t>T_offset</w:t>
      </w:r>
      <w:r>
        <w:rPr>
          <w:i/>
          <w:iCs/>
          <w:lang w:val="en-US"/>
        </w:rPr>
        <w:t>)</w:t>
      </w:r>
      <w:r w:rsidRPr="000B136E">
        <w:rPr>
          <w:lang w:val="en-US"/>
        </w:rPr>
        <w:t xml:space="preserve"> enables that MCG </w:t>
      </w:r>
      <w:r>
        <w:rPr>
          <w:lang w:val="en-US"/>
        </w:rPr>
        <w:t>may end up not</w:t>
      </w:r>
      <w:r w:rsidRPr="000B136E">
        <w:rPr>
          <w:lang w:val="en-US"/>
        </w:rPr>
        <w:t xml:space="preserve"> schedul</w:t>
      </w:r>
      <w:r>
        <w:rPr>
          <w:lang w:val="en-US"/>
        </w:rPr>
        <w:t>ing</w:t>
      </w:r>
      <w:r w:rsidRPr="000B136E">
        <w:rPr>
          <w:lang w:val="en-US"/>
        </w:rPr>
        <w:t xml:space="preserve"> anything, which is rather undesirable behavior.</w:t>
      </w:r>
    </w:p>
    <w:p w14:paraId="7F14D6CE" w14:textId="64C9AA60" w:rsidR="004270C6" w:rsidRDefault="004270C6" w:rsidP="004270C6">
      <w:r>
        <w:rPr>
          <w:b/>
          <w:bCs/>
        </w:rPr>
        <w:t>Observation</w:t>
      </w:r>
      <w:r w:rsidRPr="005075FC">
        <w:rPr>
          <w:b/>
          <w:bCs/>
        </w:rPr>
        <w:t xml:space="preserve"> </w:t>
      </w:r>
      <w:r w:rsidR="007B6DC4">
        <w:rPr>
          <w:b/>
          <w:bCs/>
        </w:rPr>
        <w:t>4</w:t>
      </w:r>
      <w:r w:rsidRPr="005075FC">
        <w:rPr>
          <w:b/>
          <w:bCs/>
        </w:rPr>
        <w:t xml:space="preserve">: </w:t>
      </w:r>
      <w:r w:rsidRPr="003433C7">
        <w:t>Working assumption has any negative impacts for NR-DC operation from RAN2’s point of vi</w:t>
      </w:r>
      <w:r>
        <w:t>ew.</w:t>
      </w:r>
    </w:p>
    <w:p w14:paraId="5B5C4ACC" w14:textId="77777777" w:rsidR="00691F6B" w:rsidRDefault="00691F6B" w:rsidP="00691F6B">
      <w:r>
        <w:rPr>
          <w:b/>
          <w:bCs/>
        </w:rPr>
        <w:t xml:space="preserve">Proposal 1: </w:t>
      </w:r>
      <w:r>
        <w:t>Indicate to RAN1 that an unnecessarily</w:t>
      </w:r>
      <w:r w:rsidRPr="00873EEE">
        <w:t xml:space="preserve"> large </w:t>
      </w:r>
      <w:r w:rsidRPr="00873EEE">
        <w:rPr>
          <w:i/>
          <w:iCs/>
        </w:rPr>
        <w:t>T_Offset</w:t>
      </w:r>
      <w:r>
        <w:t xml:space="preserve"> as per RAN1 </w:t>
      </w:r>
      <w:r w:rsidRPr="00F505FE">
        <w:t>working assumption has negative impacts for NR-DC operation.</w:t>
      </w:r>
      <w:r>
        <w:t xml:space="preserve"> </w:t>
      </w:r>
    </w:p>
    <w:p w14:paraId="7EAE6529" w14:textId="77777777" w:rsidR="00691F6B" w:rsidRPr="006270B8" w:rsidRDefault="00691F6B" w:rsidP="00691F6B">
      <w:r>
        <w:rPr>
          <w:b/>
          <w:bCs/>
        </w:rPr>
        <w:t xml:space="preserve">Proposal 2: </w:t>
      </w:r>
      <w:r>
        <w:t xml:space="preserve">Indicate to RAN1 that in RAN2 viewpoint, Alt2 (i.e. smaller T_offset option) should be adopted due to allowing more flexibility for MCG </w:t>
      </w:r>
      <w:r w:rsidRPr="006270B8">
        <w:t>scheduling.</w:t>
      </w:r>
    </w:p>
    <w:p w14:paraId="58F2CED5" w14:textId="3FE7F3DD" w:rsidR="00844476" w:rsidRPr="00BA466A" w:rsidRDefault="00844476" w:rsidP="00844476">
      <w:pPr>
        <w:rPr>
          <w:i/>
          <w:iCs/>
        </w:rPr>
      </w:pPr>
      <w:r w:rsidRPr="006270B8">
        <w:rPr>
          <w:b/>
          <w:bCs/>
        </w:rPr>
        <w:t>Proposal 3</w:t>
      </w:r>
      <w:r w:rsidRPr="006270B8">
        <w:t>: Agree to RAN1 reply LS according to R2-200</w:t>
      </w:r>
      <w:r w:rsidR="006270B8" w:rsidRPr="006270B8">
        <w:t>2980</w:t>
      </w:r>
      <w:r w:rsidRPr="006270B8">
        <w:t xml:space="preserve"> (i.e. reply</w:t>
      </w:r>
      <w:r>
        <w:t xml:space="preserve"> LS to RAN1 informing RAN2 has strong concerns on Alt.1 since it will impact system performance. </w:t>
      </w:r>
    </w:p>
    <w:p w14:paraId="4DB29DC1" w14:textId="2C96771E" w:rsidR="003D6F04" w:rsidRPr="006E13D1" w:rsidRDefault="003D6F04" w:rsidP="003D6F04">
      <w:pPr>
        <w:pStyle w:val="Heading1"/>
      </w:pPr>
      <w:r>
        <w:t>5</w:t>
      </w:r>
      <w:r w:rsidRPr="006E13D1">
        <w:tab/>
      </w:r>
      <w:r>
        <w:t>References</w:t>
      </w:r>
    </w:p>
    <w:p w14:paraId="18484F2A" w14:textId="159EE028" w:rsidR="00887668" w:rsidRDefault="003D6F04" w:rsidP="00157F58">
      <w:r>
        <w:t xml:space="preserve">[1] </w:t>
      </w:r>
      <w:r w:rsidR="00831FC0" w:rsidRPr="00831FC0">
        <w:t>R1-2001421</w:t>
      </w:r>
      <w:r w:rsidR="00831FC0">
        <w:t xml:space="preserve"> - </w:t>
      </w:r>
      <w:r w:rsidR="00831FC0" w:rsidRPr="00831FC0">
        <w:t>LS on uplink power control for NR-NR Dual-Connectivity</w:t>
      </w:r>
      <w:r w:rsidR="00831FC0">
        <w:t xml:space="preserve">, </w:t>
      </w:r>
      <w:r w:rsidR="00831FC0" w:rsidRPr="00831FC0">
        <w:t>3GPP TSG-RAN WG1 Meeting #100</w:t>
      </w:r>
      <w:r w:rsidR="00831FC0">
        <w:t xml:space="preserve">, </w:t>
      </w:r>
      <w:r w:rsidR="00831FC0" w:rsidRPr="00831FC0">
        <w:t>e-Meeting, February 24th – March 6th, 2020</w:t>
      </w:r>
    </w:p>
    <w:p w14:paraId="46C7C04D" w14:textId="26163320" w:rsidR="003D6F04" w:rsidRPr="00A13C33" w:rsidRDefault="003D6F04" w:rsidP="00157F58">
      <w:r>
        <w:t>[2]</w:t>
      </w:r>
      <w:r w:rsidR="00C12586" w:rsidRPr="00C12586">
        <w:t xml:space="preserve"> R1-1910607</w:t>
      </w:r>
      <w:r w:rsidR="00A13C33" w:rsidRPr="00510A48">
        <w:t xml:space="preserve"> Uplink PC for NR-NR Dual Connectivity</w:t>
      </w:r>
      <w:r w:rsidR="00510A48" w:rsidRPr="00510A48">
        <w:t>, Nokia, Nokia Shanghai Bell</w:t>
      </w:r>
    </w:p>
    <w:p w14:paraId="653EED19" w14:textId="77777777" w:rsidR="00A209D6" w:rsidRPr="00CD4C7B" w:rsidRDefault="00A209D6" w:rsidP="00A209D6"/>
    <w:p w14:paraId="35F222F4" w14:textId="77777777" w:rsidR="00080512" w:rsidRPr="00A209D6" w:rsidRDefault="00080512" w:rsidP="00A209D6">
      <w:bookmarkStart w:id="0" w:name="_GoBack"/>
      <w:bookmarkEnd w:id="0"/>
    </w:p>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E5DCB3" w16cex:dateUtc="2020-03-31T15:00:38.1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571A4" w14:textId="77777777" w:rsidR="003A3325" w:rsidRDefault="003A3325">
      <w:r>
        <w:separator/>
      </w:r>
    </w:p>
  </w:endnote>
  <w:endnote w:type="continuationSeparator" w:id="0">
    <w:p w14:paraId="52E09850" w14:textId="77777777" w:rsidR="003A3325" w:rsidRDefault="003A3325">
      <w:r>
        <w:continuationSeparator/>
      </w:r>
    </w:p>
  </w:endnote>
  <w:endnote w:type="continuationNotice" w:id="1">
    <w:p w14:paraId="6C2CB53C" w14:textId="77777777" w:rsidR="003A3325" w:rsidRDefault="003A3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E8864" w14:textId="77777777" w:rsidR="003A3325" w:rsidRDefault="003A3325">
      <w:r>
        <w:separator/>
      </w:r>
    </w:p>
  </w:footnote>
  <w:footnote w:type="continuationSeparator" w:id="0">
    <w:p w14:paraId="3CB78E35" w14:textId="77777777" w:rsidR="003A3325" w:rsidRDefault="003A3325">
      <w:r>
        <w:continuationSeparator/>
      </w:r>
    </w:p>
  </w:footnote>
  <w:footnote w:type="continuationNotice" w:id="1">
    <w:p w14:paraId="2A1C2E33" w14:textId="77777777" w:rsidR="003A3325" w:rsidRDefault="003A33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45CEE"/>
    <w:multiLevelType w:val="multilevel"/>
    <w:tmpl w:val="CD2A4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2046980"/>
    <w:multiLevelType w:val="hybridMultilevel"/>
    <w:tmpl w:val="F990A792"/>
    <w:lvl w:ilvl="0" w:tplc="4B9AE130">
      <w:start w:val="1"/>
      <w:numFmt w:val="bullet"/>
      <w:lvlText w:val="•"/>
      <w:lvlJc w:val="left"/>
      <w:pPr>
        <w:tabs>
          <w:tab w:val="num" w:pos="720"/>
        </w:tabs>
        <w:ind w:left="720" w:hanging="360"/>
      </w:pPr>
      <w:rPr>
        <w:rFonts w:ascii="Arial" w:hAnsi="Arial" w:hint="default"/>
      </w:rPr>
    </w:lvl>
    <w:lvl w:ilvl="1" w:tplc="A95A7D22">
      <w:start w:val="1"/>
      <w:numFmt w:val="bullet"/>
      <w:lvlText w:val="•"/>
      <w:lvlJc w:val="left"/>
      <w:pPr>
        <w:tabs>
          <w:tab w:val="num" w:pos="1440"/>
        </w:tabs>
        <w:ind w:left="1440" w:hanging="360"/>
      </w:pPr>
      <w:rPr>
        <w:rFonts w:ascii="Arial" w:hAnsi="Arial" w:hint="default"/>
      </w:rPr>
    </w:lvl>
    <w:lvl w:ilvl="2" w:tplc="FD80A5F6">
      <w:start w:val="1"/>
      <w:numFmt w:val="bullet"/>
      <w:lvlText w:val="•"/>
      <w:lvlJc w:val="left"/>
      <w:pPr>
        <w:tabs>
          <w:tab w:val="num" w:pos="2160"/>
        </w:tabs>
        <w:ind w:left="2160" w:hanging="360"/>
      </w:pPr>
      <w:rPr>
        <w:rFonts w:ascii="Arial" w:hAnsi="Arial" w:hint="default"/>
      </w:rPr>
    </w:lvl>
    <w:lvl w:ilvl="3" w:tplc="4F5A9950" w:tentative="1">
      <w:start w:val="1"/>
      <w:numFmt w:val="bullet"/>
      <w:lvlText w:val="•"/>
      <w:lvlJc w:val="left"/>
      <w:pPr>
        <w:tabs>
          <w:tab w:val="num" w:pos="2880"/>
        </w:tabs>
        <w:ind w:left="2880" w:hanging="360"/>
      </w:pPr>
      <w:rPr>
        <w:rFonts w:ascii="Arial" w:hAnsi="Arial" w:hint="default"/>
      </w:rPr>
    </w:lvl>
    <w:lvl w:ilvl="4" w:tplc="17DCADFE" w:tentative="1">
      <w:start w:val="1"/>
      <w:numFmt w:val="bullet"/>
      <w:lvlText w:val="•"/>
      <w:lvlJc w:val="left"/>
      <w:pPr>
        <w:tabs>
          <w:tab w:val="num" w:pos="3600"/>
        </w:tabs>
        <w:ind w:left="3600" w:hanging="360"/>
      </w:pPr>
      <w:rPr>
        <w:rFonts w:ascii="Arial" w:hAnsi="Arial" w:hint="default"/>
      </w:rPr>
    </w:lvl>
    <w:lvl w:ilvl="5" w:tplc="64A47F18" w:tentative="1">
      <w:start w:val="1"/>
      <w:numFmt w:val="bullet"/>
      <w:lvlText w:val="•"/>
      <w:lvlJc w:val="left"/>
      <w:pPr>
        <w:tabs>
          <w:tab w:val="num" w:pos="4320"/>
        </w:tabs>
        <w:ind w:left="4320" w:hanging="360"/>
      </w:pPr>
      <w:rPr>
        <w:rFonts w:ascii="Arial" w:hAnsi="Arial" w:hint="default"/>
      </w:rPr>
    </w:lvl>
    <w:lvl w:ilvl="6" w:tplc="17F20A4E" w:tentative="1">
      <w:start w:val="1"/>
      <w:numFmt w:val="bullet"/>
      <w:lvlText w:val="•"/>
      <w:lvlJc w:val="left"/>
      <w:pPr>
        <w:tabs>
          <w:tab w:val="num" w:pos="5040"/>
        </w:tabs>
        <w:ind w:left="5040" w:hanging="360"/>
      </w:pPr>
      <w:rPr>
        <w:rFonts w:ascii="Arial" w:hAnsi="Arial" w:hint="default"/>
      </w:rPr>
    </w:lvl>
    <w:lvl w:ilvl="7" w:tplc="8CCE20EC" w:tentative="1">
      <w:start w:val="1"/>
      <w:numFmt w:val="bullet"/>
      <w:lvlText w:val="•"/>
      <w:lvlJc w:val="left"/>
      <w:pPr>
        <w:tabs>
          <w:tab w:val="num" w:pos="5760"/>
        </w:tabs>
        <w:ind w:left="5760" w:hanging="360"/>
      </w:pPr>
      <w:rPr>
        <w:rFonts w:ascii="Arial" w:hAnsi="Arial" w:hint="default"/>
      </w:rPr>
    </w:lvl>
    <w:lvl w:ilvl="8" w:tplc="7CDEC2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0641CC"/>
    <w:multiLevelType w:val="multilevel"/>
    <w:tmpl w:val="C02C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CF0F46"/>
    <w:multiLevelType w:val="multilevel"/>
    <w:tmpl w:val="3D680B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D596104"/>
    <w:multiLevelType w:val="hybridMultilevel"/>
    <w:tmpl w:val="4FD0447C"/>
    <w:lvl w:ilvl="0" w:tplc="AD32F77A">
      <w:start w:val="1"/>
      <w:numFmt w:val="bullet"/>
      <w:lvlText w:val=""/>
      <w:lvlJc w:val="left"/>
      <w:pPr>
        <w:tabs>
          <w:tab w:val="num" w:pos="720"/>
        </w:tabs>
        <w:ind w:left="720" w:hanging="360"/>
      </w:pPr>
      <w:rPr>
        <w:rFonts w:ascii="Symbol" w:hAnsi="Symbol" w:hint="default"/>
      </w:rPr>
    </w:lvl>
    <w:lvl w:ilvl="1" w:tplc="CF8E336C">
      <w:start w:val="278"/>
      <w:numFmt w:val="bullet"/>
      <w:lvlText w:val="o"/>
      <w:lvlJc w:val="left"/>
      <w:pPr>
        <w:tabs>
          <w:tab w:val="num" w:pos="1440"/>
        </w:tabs>
        <w:ind w:left="1440" w:hanging="360"/>
      </w:pPr>
      <w:rPr>
        <w:rFonts w:ascii="Courier New" w:hAnsi="Courier New" w:hint="default"/>
      </w:rPr>
    </w:lvl>
    <w:lvl w:ilvl="2" w:tplc="239692E2">
      <w:start w:val="278"/>
      <w:numFmt w:val="bullet"/>
      <w:lvlText w:val="o"/>
      <w:lvlJc w:val="left"/>
      <w:pPr>
        <w:tabs>
          <w:tab w:val="num" w:pos="2160"/>
        </w:tabs>
        <w:ind w:left="2160" w:hanging="360"/>
      </w:pPr>
      <w:rPr>
        <w:rFonts w:ascii="Courier New" w:hAnsi="Courier New" w:hint="default"/>
      </w:rPr>
    </w:lvl>
    <w:lvl w:ilvl="3" w:tplc="6CD81210">
      <w:start w:val="278"/>
      <w:numFmt w:val="bullet"/>
      <w:lvlText w:val=""/>
      <w:lvlJc w:val="left"/>
      <w:pPr>
        <w:tabs>
          <w:tab w:val="num" w:pos="2880"/>
        </w:tabs>
        <w:ind w:left="2880" w:hanging="360"/>
      </w:pPr>
      <w:rPr>
        <w:rFonts w:ascii="Wingdings" w:hAnsi="Wingdings" w:hint="default"/>
      </w:rPr>
    </w:lvl>
    <w:lvl w:ilvl="4" w:tplc="577231B0" w:tentative="1">
      <w:start w:val="1"/>
      <w:numFmt w:val="bullet"/>
      <w:lvlText w:val=""/>
      <w:lvlJc w:val="left"/>
      <w:pPr>
        <w:tabs>
          <w:tab w:val="num" w:pos="3600"/>
        </w:tabs>
        <w:ind w:left="3600" w:hanging="360"/>
      </w:pPr>
      <w:rPr>
        <w:rFonts w:ascii="Symbol" w:hAnsi="Symbol" w:hint="default"/>
      </w:rPr>
    </w:lvl>
    <w:lvl w:ilvl="5" w:tplc="752EE2FC" w:tentative="1">
      <w:start w:val="1"/>
      <w:numFmt w:val="bullet"/>
      <w:lvlText w:val=""/>
      <w:lvlJc w:val="left"/>
      <w:pPr>
        <w:tabs>
          <w:tab w:val="num" w:pos="4320"/>
        </w:tabs>
        <w:ind w:left="4320" w:hanging="360"/>
      </w:pPr>
      <w:rPr>
        <w:rFonts w:ascii="Symbol" w:hAnsi="Symbol" w:hint="default"/>
      </w:rPr>
    </w:lvl>
    <w:lvl w:ilvl="6" w:tplc="6A00F988" w:tentative="1">
      <w:start w:val="1"/>
      <w:numFmt w:val="bullet"/>
      <w:lvlText w:val=""/>
      <w:lvlJc w:val="left"/>
      <w:pPr>
        <w:tabs>
          <w:tab w:val="num" w:pos="5040"/>
        </w:tabs>
        <w:ind w:left="5040" w:hanging="360"/>
      </w:pPr>
      <w:rPr>
        <w:rFonts w:ascii="Symbol" w:hAnsi="Symbol" w:hint="default"/>
      </w:rPr>
    </w:lvl>
    <w:lvl w:ilvl="7" w:tplc="7354C0CE" w:tentative="1">
      <w:start w:val="1"/>
      <w:numFmt w:val="bullet"/>
      <w:lvlText w:val=""/>
      <w:lvlJc w:val="left"/>
      <w:pPr>
        <w:tabs>
          <w:tab w:val="num" w:pos="5760"/>
        </w:tabs>
        <w:ind w:left="5760" w:hanging="360"/>
      </w:pPr>
      <w:rPr>
        <w:rFonts w:ascii="Symbol" w:hAnsi="Symbol" w:hint="default"/>
      </w:rPr>
    </w:lvl>
    <w:lvl w:ilvl="8" w:tplc="19CAD61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8D45C9"/>
    <w:multiLevelType w:val="multilevel"/>
    <w:tmpl w:val="C3BCB7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9962CD"/>
    <w:multiLevelType w:val="multilevel"/>
    <w:tmpl w:val="3018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2EE41A5"/>
    <w:multiLevelType w:val="hybridMultilevel"/>
    <w:tmpl w:val="413851A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5"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AD7669C"/>
    <w:multiLevelType w:val="hybridMultilevel"/>
    <w:tmpl w:val="641624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11"/>
  </w:num>
  <w:num w:numId="9">
    <w:abstractNumId w:val="2"/>
  </w:num>
  <w:num w:numId="10">
    <w:abstractNumId w:val="4"/>
  </w:num>
  <w:num w:numId="11">
    <w:abstractNumId w:val="5"/>
  </w:num>
  <w:num w:numId="12">
    <w:abstractNumId w:val="10"/>
  </w:num>
  <w:num w:numId="13">
    <w:abstractNumId w:val="15"/>
  </w:num>
  <w:num w:numId="14">
    <w:abstractNumId w:val="9"/>
  </w:num>
  <w:num w:numId="15">
    <w:abstractNumId w:val="6"/>
  </w:num>
  <w:num w:numId="16">
    <w:abstractNumId w:val="3"/>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C16"/>
    <w:rsid w:val="00033397"/>
    <w:rsid w:val="00034ABD"/>
    <w:rsid w:val="00040095"/>
    <w:rsid w:val="00043A8F"/>
    <w:rsid w:val="000520C3"/>
    <w:rsid w:val="00073A70"/>
    <w:rsid w:val="00073C9C"/>
    <w:rsid w:val="00080512"/>
    <w:rsid w:val="000849A2"/>
    <w:rsid w:val="00086789"/>
    <w:rsid w:val="000870DC"/>
    <w:rsid w:val="00087C91"/>
    <w:rsid w:val="00090468"/>
    <w:rsid w:val="00092811"/>
    <w:rsid w:val="00094568"/>
    <w:rsid w:val="000A1DE3"/>
    <w:rsid w:val="000A25DC"/>
    <w:rsid w:val="000B136E"/>
    <w:rsid w:val="000B59D2"/>
    <w:rsid w:val="000B7BCF"/>
    <w:rsid w:val="000C522B"/>
    <w:rsid w:val="000D58AB"/>
    <w:rsid w:val="000F5433"/>
    <w:rsid w:val="00112AD5"/>
    <w:rsid w:val="00112F1A"/>
    <w:rsid w:val="00145075"/>
    <w:rsid w:val="00157F58"/>
    <w:rsid w:val="001741A0"/>
    <w:rsid w:val="00175FA0"/>
    <w:rsid w:val="001770B4"/>
    <w:rsid w:val="0018608B"/>
    <w:rsid w:val="00192C95"/>
    <w:rsid w:val="00194CD0"/>
    <w:rsid w:val="001B49C9"/>
    <w:rsid w:val="001C23F4"/>
    <w:rsid w:val="001C4F79"/>
    <w:rsid w:val="001D3B97"/>
    <w:rsid w:val="001D6C33"/>
    <w:rsid w:val="001F168B"/>
    <w:rsid w:val="001F7831"/>
    <w:rsid w:val="002019FF"/>
    <w:rsid w:val="00204045"/>
    <w:rsid w:val="0020712B"/>
    <w:rsid w:val="0022606D"/>
    <w:rsid w:val="002303D1"/>
    <w:rsid w:val="00231728"/>
    <w:rsid w:val="0024166E"/>
    <w:rsid w:val="00243425"/>
    <w:rsid w:val="00250404"/>
    <w:rsid w:val="00250ECF"/>
    <w:rsid w:val="00255938"/>
    <w:rsid w:val="002610D8"/>
    <w:rsid w:val="00262700"/>
    <w:rsid w:val="002747EC"/>
    <w:rsid w:val="0027770D"/>
    <w:rsid w:val="002855BF"/>
    <w:rsid w:val="002A366E"/>
    <w:rsid w:val="002B66D6"/>
    <w:rsid w:val="002B6FD6"/>
    <w:rsid w:val="002D3544"/>
    <w:rsid w:val="002E231C"/>
    <w:rsid w:val="002F0D22"/>
    <w:rsid w:val="00310AE0"/>
    <w:rsid w:val="00311B17"/>
    <w:rsid w:val="0031675A"/>
    <w:rsid w:val="003172DC"/>
    <w:rsid w:val="00323AB1"/>
    <w:rsid w:val="00325AE3"/>
    <w:rsid w:val="00326069"/>
    <w:rsid w:val="00330C45"/>
    <w:rsid w:val="003433C7"/>
    <w:rsid w:val="0034623E"/>
    <w:rsid w:val="003468C9"/>
    <w:rsid w:val="00352D28"/>
    <w:rsid w:val="0035462D"/>
    <w:rsid w:val="00357C12"/>
    <w:rsid w:val="00360C9C"/>
    <w:rsid w:val="00364B41"/>
    <w:rsid w:val="00372116"/>
    <w:rsid w:val="00374F3B"/>
    <w:rsid w:val="0038033D"/>
    <w:rsid w:val="00383096"/>
    <w:rsid w:val="0039346C"/>
    <w:rsid w:val="003A3325"/>
    <w:rsid w:val="003A41EF"/>
    <w:rsid w:val="003B33C3"/>
    <w:rsid w:val="003B40AD"/>
    <w:rsid w:val="003B64BE"/>
    <w:rsid w:val="003C0056"/>
    <w:rsid w:val="003C48B5"/>
    <w:rsid w:val="003C4E37"/>
    <w:rsid w:val="003D6F04"/>
    <w:rsid w:val="003E16BE"/>
    <w:rsid w:val="003F4943"/>
    <w:rsid w:val="003F4E28"/>
    <w:rsid w:val="003F5542"/>
    <w:rsid w:val="003F77A1"/>
    <w:rsid w:val="004006E8"/>
    <w:rsid w:val="00401855"/>
    <w:rsid w:val="00412989"/>
    <w:rsid w:val="004270C6"/>
    <w:rsid w:val="004305AD"/>
    <w:rsid w:val="00446A86"/>
    <w:rsid w:val="00465587"/>
    <w:rsid w:val="0047707F"/>
    <w:rsid w:val="00477455"/>
    <w:rsid w:val="00481ABD"/>
    <w:rsid w:val="0048505E"/>
    <w:rsid w:val="00486DEC"/>
    <w:rsid w:val="004908B3"/>
    <w:rsid w:val="004947FA"/>
    <w:rsid w:val="004A1F7B"/>
    <w:rsid w:val="004A58D1"/>
    <w:rsid w:val="004A772D"/>
    <w:rsid w:val="004B667D"/>
    <w:rsid w:val="004C0AEC"/>
    <w:rsid w:val="004C44D2"/>
    <w:rsid w:val="004D3578"/>
    <w:rsid w:val="004D380D"/>
    <w:rsid w:val="004E213A"/>
    <w:rsid w:val="004E68BD"/>
    <w:rsid w:val="004E7113"/>
    <w:rsid w:val="004E7BDE"/>
    <w:rsid w:val="00503171"/>
    <w:rsid w:val="00506C28"/>
    <w:rsid w:val="005075FC"/>
    <w:rsid w:val="00510A48"/>
    <w:rsid w:val="00510D0A"/>
    <w:rsid w:val="00524722"/>
    <w:rsid w:val="005267C3"/>
    <w:rsid w:val="00532939"/>
    <w:rsid w:val="005344BA"/>
    <w:rsid w:val="00534DA0"/>
    <w:rsid w:val="00534DEF"/>
    <w:rsid w:val="00543E6C"/>
    <w:rsid w:val="00557CCA"/>
    <w:rsid w:val="00564851"/>
    <w:rsid w:val="00565087"/>
    <w:rsid w:val="0056573F"/>
    <w:rsid w:val="0057263C"/>
    <w:rsid w:val="005A49C6"/>
    <w:rsid w:val="005A614C"/>
    <w:rsid w:val="005E5736"/>
    <w:rsid w:val="005F789A"/>
    <w:rsid w:val="00604BCF"/>
    <w:rsid w:val="00605279"/>
    <w:rsid w:val="0061013F"/>
    <w:rsid w:val="00611566"/>
    <w:rsid w:val="006270B8"/>
    <w:rsid w:val="0063676B"/>
    <w:rsid w:val="00646D99"/>
    <w:rsid w:val="00646E56"/>
    <w:rsid w:val="00655A13"/>
    <w:rsid w:val="00656910"/>
    <w:rsid w:val="006574C0"/>
    <w:rsid w:val="006603CF"/>
    <w:rsid w:val="00664CCE"/>
    <w:rsid w:val="0066590C"/>
    <w:rsid w:val="00675876"/>
    <w:rsid w:val="006851D7"/>
    <w:rsid w:val="00690A51"/>
    <w:rsid w:val="00691F6B"/>
    <w:rsid w:val="00697174"/>
    <w:rsid w:val="006B2231"/>
    <w:rsid w:val="006B75F1"/>
    <w:rsid w:val="006B7FED"/>
    <w:rsid w:val="006C66D8"/>
    <w:rsid w:val="006D1E24"/>
    <w:rsid w:val="006D53A6"/>
    <w:rsid w:val="006E1417"/>
    <w:rsid w:val="006E4370"/>
    <w:rsid w:val="006F005D"/>
    <w:rsid w:val="006F0690"/>
    <w:rsid w:val="006F6A2C"/>
    <w:rsid w:val="0070078A"/>
    <w:rsid w:val="00702BD6"/>
    <w:rsid w:val="0070460B"/>
    <w:rsid w:val="007069DC"/>
    <w:rsid w:val="00710201"/>
    <w:rsid w:val="0072073A"/>
    <w:rsid w:val="00727E14"/>
    <w:rsid w:val="007342B5"/>
    <w:rsid w:val="00734A5B"/>
    <w:rsid w:val="00744E76"/>
    <w:rsid w:val="007533A7"/>
    <w:rsid w:val="00757D40"/>
    <w:rsid w:val="007662B5"/>
    <w:rsid w:val="00773918"/>
    <w:rsid w:val="00781F0F"/>
    <w:rsid w:val="0078727C"/>
    <w:rsid w:val="0079049D"/>
    <w:rsid w:val="00793DC5"/>
    <w:rsid w:val="007A1460"/>
    <w:rsid w:val="007A3C07"/>
    <w:rsid w:val="007B18D8"/>
    <w:rsid w:val="007B6DC4"/>
    <w:rsid w:val="007C07D6"/>
    <w:rsid w:val="007C095F"/>
    <w:rsid w:val="007C2DD0"/>
    <w:rsid w:val="007C386B"/>
    <w:rsid w:val="007C67E9"/>
    <w:rsid w:val="007D2AD3"/>
    <w:rsid w:val="007D4454"/>
    <w:rsid w:val="007E39CA"/>
    <w:rsid w:val="007E4C02"/>
    <w:rsid w:val="007E5647"/>
    <w:rsid w:val="007F2E08"/>
    <w:rsid w:val="00801F21"/>
    <w:rsid w:val="008028A4"/>
    <w:rsid w:val="00813245"/>
    <w:rsid w:val="00824341"/>
    <w:rsid w:val="00831FC0"/>
    <w:rsid w:val="00840DE0"/>
    <w:rsid w:val="00844476"/>
    <w:rsid w:val="008460F3"/>
    <w:rsid w:val="0086354A"/>
    <w:rsid w:val="00873EEE"/>
    <w:rsid w:val="008768CA"/>
    <w:rsid w:val="00877EF9"/>
    <w:rsid w:val="00880559"/>
    <w:rsid w:val="00885D2C"/>
    <w:rsid w:val="00887668"/>
    <w:rsid w:val="00897B13"/>
    <w:rsid w:val="008A6280"/>
    <w:rsid w:val="008B3F78"/>
    <w:rsid w:val="008B5306"/>
    <w:rsid w:val="008B5B27"/>
    <w:rsid w:val="008C2E2A"/>
    <w:rsid w:val="008C3057"/>
    <w:rsid w:val="008C5B16"/>
    <w:rsid w:val="008D2E4D"/>
    <w:rsid w:val="008E150A"/>
    <w:rsid w:val="008F396F"/>
    <w:rsid w:val="008F3DCD"/>
    <w:rsid w:val="00900626"/>
    <w:rsid w:val="0090271F"/>
    <w:rsid w:val="00902DB9"/>
    <w:rsid w:val="0090342B"/>
    <w:rsid w:val="0090466A"/>
    <w:rsid w:val="009060FE"/>
    <w:rsid w:val="00910695"/>
    <w:rsid w:val="00915780"/>
    <w:rsid w:val="00923655"/>
    <w:rsid w:val="00936071"/>
    <w:rsid w:val="009376CD"/>
    <w:rsid w:val="00940212"/>
    <w:rsid w:val="00941958"/>
    <w:rsid w:val="00942EC2"/>
    <w:rsid w:val="009573EE"/>
    <w:rsid w:val="00961B32"/>
    <w:rsid w:val="009623A8"/>
    <w:rsid w:val="00962509"/>
    <w:rsid w:val="00970DB3"/>
    <w:rsid w:val="009739ED"/>
    <w:rsid w:val="00974BB0"/>
    <w:rsid w:val="00975BCD"/>
    <w:rsid w:val="0098265E"/>
    <w:rsid w:val="00986656"/>
    <w:rsid w:val="009928A9"/>
    <w:rsid w:val="00993C63"/>
    <w:rsid w:val="00995E76"/>
    <w:rsid w:val="009A0AF3"/>
    <w:rsid w:val="009A3914"/>
    <w:rsid w:val="009A4C08"/>
    <w:rsid w:val="009B07CD"/>
    <w:rsid w:val="009B5CE8"/>
    <w:rsid w:val="009C19E9"/>
    <w:rsid w:val="009D74A6"/>
    <w:rsid w:val="009E0E87"/>
    <w:rsid w:val="009E315C"/>
    <w:rsid w:val="009E3CE7"/>
    <w:rsid w:val="009F1A2A"/>
    <w:rsid w:val="009F59F2"/>
    <w:rsid w:val="00A10F02"/>
    <w:rsid w:val="00A110EB"/>
    <w:rsid w:val="00A13C33"/>
    <w:rsid w:val="00A204CA"/>
    <w:rsid w:val="00A209D6"/>
    <w:rsid w:val="00A4165E"/>
    <w:rsid w:val="00A43D41"/>
    <w:rsid w:val="00A53724"/>
    <w:rsid w:val="00A54B2B"/>
    <w:rsid w:val="00A575E5"/>
    <w:rsid w:val="00A67065"/>
    <w:rsid w:val="00A82346"/>
    <w:rsid w:val="00A8347D"/>
    <w:rsid w:val="00A8369B"/>
    <w:rsid w:val="00A8511B"/>
    <w:rsid w:val="00A9671C"/>
    <w:rsid w:val="00AA1553"/>
    <w:rsid w:val="00AB66F8"/>
    <w:rsid w:val="00AC4AA8"/>
    <w:rsid w:val="00AC7553"/>
    <w:rsid w:val="00AD2B9B"/>
    <w:rsid w:val="00AE793B"/>
    <w:rsid w:val="00AF712A"/>
    <w:rsid w:val="00B0111E"/>
    <w:rsid w:val="00B05380"/>
    <w:rsid w:val="00B05962"/>
    <w:rsid w:val="00B07518"/>
    <w:rsid w:val="00B15449"/>
    <w:rsid w:val="00B16C2F"/>
    <w:rsid w:val="00B27303"/>
    <w:rsid w:val="00B30AD0"/>
    <w:rsid w:val="00B33B2A"/>
    <w:rsid w:val="00B340BE"/>
    <w:rsid w:val="00B34CAC"/>
    <w:rsid w:val="00B35CA9"/>
    <w:rsid w:val="00B46B98"/>
    <w:rsid w:val="00B47FD1"/>
    <w:rsid w:val="00B516BB"/>
    <w:rsid w:val="00B84DB2"/>
    <w:rsid w:val="00B93D84"/>
    <w:rsid w:val="00B970D8"/>
    <w:rsid w:val="00BA466A"/>
    <w:rsid w:val="00BB1EB7"/>
    <w:rsid w:val="00BC3555"/>
    <w:rsid w:val="00BC75FF"/>
    <w:rsid w:val="00BE285F"/>
    <w:rsid w:val="00BE30F5"/>
    <w:rsid w:val="00BF2B4F"/>
    <w:rsid w:val="00C12586"/>
    <w:rsid w:val="00C12B51"/>
    <w:rsid w:val="00C14657"/>
    <w:rsid w:val="00C1572A"/>
    <w:rsid w:val="00C17475"/>
    <w:rsid w:val="00C24650"/>
    <w:rsid w:val="00C25465"/>
    <w:rsid w:val="00C30378"/>
    <w:rsid w:val="00C30C47"/>
    <w:rsid w:val="00C33079"/>
    <w:rsid w:val="00C463F7"/>
    <w:rsid w:val="00C557C9"/>
    <w:rsid w:val="00C73DAE"/>
    <w:rsid w:val="00C83A13"/>
    <w:rsid w:val="00C9068C"/>
    <w:rsid w:val="00C92967"/>
    <w:rsid w:val="00CA3D0C"/>
    <w:rsid w:val="00CA654B"/>
    <w:rsid w:val="00CB1C77"/>
    <w:rsid w:val="00CB3534"/>
    <w:rsid w:val="00CB72B8"/>
    <w:rsid w:val="00CD3711"/>
    <w:rsid w:val="00CD4C7B"/>
    <w:rsid w:val="00CD58FE"/>
    <w:rsid w:val="00CE1336"/>
    <w:rsid w:val="00CE6EF7"/>
    <w:rsid w:val="00D33BE3"/>
    <w:rsid w:val="00D35BBF"/>
    <w:rsid w:val="00D3792D"/>
    <w:rsid w:val="00D41D4E"/>
    <w:rsid w:val="00D441DB"/>
    <w:rsid w:val="00D4515B"/>
    <w:rsid w:val="00D46408"/>
    <w:rsid w:val="00D54BD9"/>
    <w:rsid w:val="00D55B50"/>
    <w:rsid w:val="00D55E47"/>
    <w:rsid w:val="00D62E19"/>
    <w:rsid w:val="00D633FA"/>
    <w:rsid w:val="00D63B71"/>
    <w:rsid w:val="00D67CD1"/>
    <w:rsid w:val="00D738D6"/>
    <w:rsid w:val="00D80795"/>
    <w:rsid w:val="00D854BE"/>
    <w:rsid w:val="00D87E00"/>
    <w:rsid w:val="00D9134D"/>
    <w:rsid w:val="00D96D11"/>
    <w:rsid w:val="00DA7A03"/>
    <w:rsid w:val="00DB0DB8"/>
    <w:rsid w:val="00DB1818"/>
    <w:rsid w:val="00DC03A3"/>
    <w:rsid w:val="00DC309B"/>
    <w:rsid w:val="00DC4DA2"/>
    <w:rsid w:val="00DC5261"/>
    <w:rsid w:val="00DE25D2"/>
    <w:rsid w:val="00E17164"/>
    <w:rsid w:val="00E20C4F"/>
    <w:rsid w:val="00E410CB"/>
    <w:rsid w:val="00E46C08"/>
    <w:rsid w:val="00E471CF"/>
    <w:rsid w:val="00E56515"/>
    <w:rsid w:val="00E6133A"/>
    <w:rsid w:val="00E62835"/>
    <w:rsid w:val="00E6692A"/>
    <w:rsid w:val="00E7492A"/>
    <w:rsid w:val="00E77645"/>
    <w:rsid w:val="00E83697"/>
    <w:rsid w:val="00E90E78"/>
    <w:rsid w:val="00E92978"/>
    <w:rsid w:val="00E97E4F"/>
    <w:rsid w:val="00EA112C"/>
    <w:rsid w:val="00EA66C9"/>
    <w:rsid w:val="00EA6E55"/>
    <w:rsid w:val="00EB74B9"/>
    <w:rsid w:val="00EC4A25"/>
    <w:rsid w:val="00EC78EA"/>
    <w:rsid w:val="00ED0009"/>
    <w:rsid w:val="00ED7D10"/>
    <w:rsid w:val="00EE7B16"/>
    <w:rsid w:val="00F025A2"/>
    <w:rsid w:val="00F036E9"/>
    <w:rsid w:val="00F07388"/>
    <w:rsid w:val="00F1040D"/>
    <w:rsid w:val="00F17EC1"/>
    <w:rsid w:val="00F2026E"/>
    <w:rsid w:val="00F2210A"/>
    <w:rsid w:val="00F23E8D"/>
    <w:rsid w:val="00F240A0"/>
    <w:rsid w:val="00F37743"/>
    <w:rsid w:val="00F505FE"/>
    <w:rsid w:val="00F54A3D"/>
    <w:rsid w:val="00F54CB0"/>
    <w:rsid w:val="00F579CD"/>
    <w:rsid w:val="00F653B8"/>
    <w:rsid w:val="00F71262"/>
    <w:rsid w:val="00F71B89"/>
    <w:rsid w:val="00F7353C"/>
    <w:rsid w:val="00F76F8F"/>
    <w:rsid w:val="00F77E6D"/>
    <w:rsid w:val="00F941DF"/>
    <w:rsid w:val="00FA1266"/>
    <w:rsid w:val="00FA3601"/>
    <w:rsid w:val="00FB36FA"/>
    <w:rsid w:val="00FC1192"/>
    <w:rsid w:val="00FD5615"/>
    <w:rsid w:val="00FE251B"/>
    <w:rsid w:val="00FF414A"/>
    <w:rsid w:val="00FF6C1B"/>
    <w:rsid w:val="00FF72BE"/>
    <w:rsid w:val="049356AA"/>
    <w:rsid w:val="0D7DD2B2"/>
    <w:rsid w:val="1FB2ECB0"/>
    <w:rsid w:val="1FBB6547"/>
    <w:rsid w:val="21706C0F"/>
    <w:rsid w:val="25ABCC57"/>
    <w:rsid w:val="3E29D97D"/>
    <w:rsid w:val="42079DD3"/>
    <w:rsid w:val="4EB3E218"/>
    <w:rsid w:val="524682D6"/>
    <w:rsid w:val="52B8C963"/>
    <w:rsid w:val="5966DB85"/>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194735146">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1818958585">
          <w:marLeft w:val="0"/>
          <w:marRight w:val="0"/>
          <w:marTop w:val="0"/>
          <w:marBottom w:val="0"/>
          <w:divBdr>
            <w:top w:val="none" w:sz="0" w:space="0" w:color="auto"/>
            <w:left w:val="none" w:sz="0" w:space="0" w:color="auto"/>
            <w:bottom w:val="none" w:sz="0" w:space="0" w:color="auto"/>
            <w:right w:val="none" w:sz="0" w:space="0" w:color="auto"/>
          </w:divBdr>
        </w:div>
        <w:div w:id="896278153">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2124762617">
          <w:marLeft w:val="0"/>
          <w:marRight w:val="0"/>
          <w:marTop w:val="0"/>
          <w:marBottom w:val="0"/>
          <w:divBdr>
            <w:top w:val="none" w:sz="0" w:space="0" w:color="auto"/>
            <w:left w:val="none" w:sz="0" w:space="0" w:color="auto"/>
            <w:bottom w:val="none" w:sz="0" w:space="0" w:color="auto"/>
            <w:right w:val="none" w:sz="0" w:space="0" w:color="auto"/>
          </w:divBdr>
        </w:div>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sChild>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1_RL1/TSGR1_98b/Docs/R1-191060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0_e/Docs/R1-2001421.zip" TargetMode="External"/><Relationship Id="R1b0971b2063d4f7e"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5AIRPNAIUNRU-859666464-6274</_dlc_DocId>
    <_dlc_DocIdUrl xmlns="71c5aaf6-e6ce-465b-b873-5148d2a4c105">
      <Url>https://nokia.sharepoint.com/sites/c5g/e2earch/_layouts/15/DocIdRedir.aspx?ID=5AIRPNAIUNRU-859666464-6274</Url>
      <Description>5AIRPNAIUNRU-859666464-6274</Description>
    </_dlc_DocIdUrl>
  </documentManagement>
</p:properties>
</file>

<file path=customXml/itemProps1.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83f22d2f-d16e-4be6-ad4f-29fa0b067c3c"/>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www.w3.org/XML/1998/namespace"/>
    <ds:schemaRef ds:uri="a3840f4f-04be-43d1-b2ef-6ff1382503c7"/>
    <ds:schemaRef ds:uri="3b34c8f0-1ef5-4d1e-bb66-517ce7fe7356"/>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340</TotalTime>
  <Pages>5</Pages>
  <Words>1568</Words>
  <Characters>12701</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396</cp:revision>
  <dcterms:created xsi:type="dcterms:W3CDTF">2020-03-30T10:17:00Z</dcterms:created>
  <dcterms:modified xsi:type="dcterms:W3CDTF">2020-04-09T09:00:00Z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7aa77cc6-bcd1-42a8-8c57-5979b517c4d8</vt:lpwstr>
  </property>
</Properties>
</file>